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ind w:left="0" w:right="-26" w:firstLine="0"/>
        <w:jc w:val="center"/>
        <w:rPr>
          <w:rFonts w:eastAsia="Times New Roman" w:cs="Calibri"/>
          <w:b/>
          <w:sz w:val="32"/>
          <w:szCs w:val="32"/>
          <w:u w:val="single"/>
          <w:lang w:eastAsia="fr-FR"/>
        </w:rPr>
      </w:pPr>
      <w:r>
        <w:rPr>
          <w:rFonts w:ascii="Times New Roman" w:eastAsia="Times New Roman" w:hAnsi="Times New Roman"/>
          <w:noProof/>
          <w:sz w:val="24"/>
          <w:szCs w:val="24"/>
          <w:lang w:eastAsia="fr-BE"/>
        </w:rPr>
        <w:drawing>
          <wp:inline distT="0" distB="0" distL="0" distR="0">
            <wp:extent cx="6106795" cy="1781175"/>
            <wp:effectExtent l="0" t="0" r="8255" b="9525"/>
            <wp:docPr id="5" name="Image 4" descr="http://www.federation-wallonie-bruxelles.be/fileadmin/sites/portail/uploads/Illustrations_documents_images/A._A_propos_de_la_Federation/1._Qui_sommes_nous__/1.5._Logos_de_la_FW-B/FWB_QUADRI_HO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http://www.federation-wallonie-bruxelles.be/fileadmin/sites/portail/uploads/Illustrations_documents_images/A._A_propos_de_la_Federation/1._Qui_sommes_nous__/1.5._Logos_de_la_FW-B/FWB_QUADRI_HORI.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06795" cy="1781175"/>
                    </a:xfrm>
                    <a:prstGeom prst="rect">
                      <a:avLst/>
                    </a:prstGeom>
                    <a:noFill/>
                    <a:ln>
                      <a:noFill/>
                    </a:ln>
                  </pic:spPr>
                </pic:pic>
              </a:graphicData>
            </a:graphic>
          </wp:inline>
        </w:drawing>
      </w:r>
    </w:p>
    <w:p>
      <w:pPr>
        <w:spacing w:after="0"/>
        <w:ind w:left="180" w:right="-26" w:hanging="180"/>
        <w:jc w:val="center"/>
        <w:rPr>
          <w:rFonts w:eastAsia="Times New Roman" w:cs="Calibri"/>
          <w:b/>
          <w:sz w:val="32"/>
          <w:szCs w:val="32"/>
          <w:u w:val="single"/>
          <w:lang w:eastAsia="fr-FR"/>
        </w:rPr>
      </w:pPr>
    </w:p>
    <w:p>
      <w:pPr>
        <w:spacing w:after="0"/>
        <w:ind w:left="180" w:right="-26" w:hanging="180"/>
        <w:jc w:val="center"/>
        <w:rPr>
          <w:rFonts w:eastAsia="Times New Roman" w:cs="Calibri"/>
          <w:b/>
          <w:smallCaps/>
          <w:sz w:val="48"/>
          <w:szCs w:val="48"/>
          <w:lang w:eastAsia="fr-FR"/>
        </w:rPr>
      </w:pPr>
      <w:r>
        <w:rPr>
          <w:rFonts w:eastAsia="Times New Roman" w:cs="Calibri"/>
          <w:b/>
          <w:smallCaps/>
          <w:sz w:val="48"/>
          <w:szCs w:val="48"/>
          <w:lang w:eastAsia="fr-FR"/>
        </w:rPr>
        <w:t>Direction Générale de l’Enseignement Obligatoire</w:t>
      </w:r>
    </w:p>
    <w:p>
      <w:pPr>
        <w:spacing w:after="0"/>
        <w:ind w:left="180" w:right="-26" w:hanging="180"/>
        <w:jc w:val="center"/>
        <w:rPr>
          <w:rFonts w:eastAsia="Times New Roman" w:cs="Calibri"/>
          <w:sz w:val="48"/>
          <w:szCs w:val="24"/>
          <w:lang w:eastAsia="fr-FR"/>
        </w:rPr>
      </w:pPr>
    </w:p>
    <w:p>
      <w:pPr>
        <w:spacing w:after="0"/>
        <w:ind w:left="180" w:right="-26" w:hanging="180"/>
        <w:jc w:val="center"/>
        <w:rPr>
          <w:rFonts w:eastAsia="Times New Roman" w:cs="Calibri"/>
          <w:sz w:val="24"/>
          <w:szCs w:val="24"/>
          <w:lang w:eastAsia="fr-FR"/>
        </w:rPr>
      </w:pPr>
    </w:p>
    <w:p>
      <w:pPr>
        <w:pBdr>
          <w:top w:val="single" w:sz="4" w:space="1" w:color="auto"/>
          <w:left w:val="single" w:sz="4" w:space="4" w:color="auto"/>
          <w:bottom w:val="single" w:sz="4" w:space="1" w:color="auto"/>
          <w:right w:val="single" w:sz="4" w:space="0" w:color="auto"/>
        </w:pBdr>
        <w:spacing w:after="0"/>
        <w:ind w:left="0" w:firstLine="0"/>
        <w:jc w:val="center"/>
        <w:rPr>
          <w:rFonts w:eastAsia="Times New Roman" w:cs="Calibri"/>
          <w:b/>
          <w:sz w:val="48"/>
          <w:szCs w:val="48"/>
          <w:lang w:eastAsia="fr-FR"/>
        </w:rPr>
      </w:pPr>
    </w:p>
    <w:p>
      <w:pPr>
        <w:pBdr>
          <w:top w:val="single" w:sz="4" w:space="1" w:color="auto"/>
          <w:left w:val="single" w:sz="4" w:space="4" w:color="auto"/>
          <w:bottom w:val="single" w:sz="4" w:space="1" w:color="auto"/>
          <w:right w:val="single" w:sz="4" w:space="0" w:color="auto"/>
        </w:pBdr>
        <w:spacing w:after="0"/>
        <w:ind w:left="0" w:firstLine="0"/>
        <w:jc w:val="center"/>
        <w:rPr>
          <w:rFonts w:eastAsia="Times New Roman" w:cs="Calibri"/>
          <w:b/>
          <w:sz w:val="48"/>
          <w:szCs w:val="48"/>
          <w:u w:val="single"/>
          <w:lang w:eastAsia="fr-FR"/>
        </w:rPr>
      </w:pPr>
      <w:r>
        <w:rPr>
          <w:rFonts w:eastAsia="Times New Roman" w:cs="Calibri"/>
          <w:b/>
          <w:sz w:val="48"/>
          <w:szCs w:val="48"/>
          <w:u w:val="single"/>
          <w:lang w:eastAsia="fr-FR"/>
        </w:rPr>
        <w:t>Instructions relatives à la constitution du dossier justificatif</w:t>
      </w:r>
    </w:p>
    <w:p>
      <w:pPr>
        <w:pBdr>
          <w:top w:val="single" w:sz="4" w:space="1" w:color="auto"/>
          <w:left w:val="single" w:sz="4" w:space="4" w:color="auto"/>
          <w:bottom w:val="single" w:sz="4" w:space="1" w:color="auto"/>
          <w:right w:val="single" w:sz="4" w:space="0" w:color="auto"/>
        </w:pBdr>
        <w:spacing w:after="0"/>
        <w:ind w:left="0" w:firstLine="0"/>
        <w:jc w:val="center"/>
        <w:rPr>
          <w:rFonts w:eastAsia="Times New Roman" w:cs="Calibri"/>
          <w:b/>
          <w:sz w:val="48"/>
          <w:szCs w:val="48"/>
          <w:lang w:eastAsia="fr-FR"/>
        </w:rPr>
      </w:pPr>
    </w:p>
    <w:p>
      <w:pPr>
        <w:pBdr>
          <w:top w:val="single" w:sz="4" w:space="1" w:color="auto"/>
          <w:left w:val="single" w:sz="4" w:space="4" w:color="auto"/>
          <w:bottom w:val="single" w:sz="4" w:space="1" w:color="auto"/>
          <w:right w:val="single" w:sz="4" w:space="0" w:color="auto"/>
        </w:pBdr>
        <w:spacing w:after="0"/>
        <w:ind w:left="0" w:firstLine="0"/>
        <w:jc w:val="center"/>
        <w:rPr>
          <w:rFonts w:eastAsia="Times New Roman" w:cs="Calibri"/>
          <w:b/>
          <w:color w:val="FF0000"/>
          <w:sz w:val="48"/>
          <w:szCs w:val="48"/>
          <w:lang w:eastAsia="fr-FR"/>
        </w:rPr>
      </w:pPr>
      <w:r>
        <w:rPr>
          <w:rFonts w:eastAsia="Times New Roman" w:cs="Calibri"/>
          <w:b/>
          <w:color w:val="FF0000"/>
          <w:sz w:val="48"/>
          <w:szCs w:val="48"/>
          <w:lang w:eastAsia="fr-FR"/>
        </w:rPr>
        <w:t>FRAIS DE MAINTENANCE</w:t>
      </w:r>
    </w:p>
    <w:p>
      <w:pPr>
        <w:pBdr>
          <w:top w:val="single" w:sz="4" w:space="1" w:color="auto"/>
          <w:left w:val="single" w:sz="4" w:space="4" w:color="auto"/>
          <w:bottom w:val="single" w:sz="4" w:space="1" w:color="auto"/>
          <w:right w:val="single" w:sz="4" w:space="0" w:color="auto"/>
        </w:pBdr>
        <w:spacing w:after="0"/>
        <w:ind w:left="0" w:firstLine="0"/>
        <w:jc w:val="center"/>
        <w:rPr>
          <w:rFonts w:eastAsia="Times New Roman" w:cs="Calibri"/>
          <w:b/>
          <w:color w:val="FF0000"/>
          <w:sz w:val="48"/>
          <w:szCs w:val="48"/>
          <w:lang w:eastAsia="fr-FR"/>
        </w:rPr>
      </w:pPr>
      <w:r>
        <w:rPr>
          <w:rFonts w:eastAsia="Times New Roman" w:cs="Calibri"/>
          <w:b/>
          <w:color w:val="FF0000"/>
          <w:sz w:val="48"/>
          <w:szCs w:val="48"/>
          <w:lang w:eastAsia="fr-FR"/>
        </w:rPr>
        <w:t>des équipements CTA</w:t>
      </w:r>
    </w:p>
    <w:p>
      <w:pPr>
        <w:pBdr>
          <w:top w:val="single" w:sz="4" w:space="1" w:color="auto"/>
          <w:left w:val="single" w:sz="4" w:space="4" w:color="auto"/>
          <w:bottom w:val="single" w:sz="4" w:space="1" w:color="auto"/>
          <w:right w:val="single" w:sz="4" w:space="0" w:color="auto"/>
        </w:pBdr>
        <w:spacing w:after="0"/>
        <w:ind w:left="0" w:firstLine="0"/>
        <w:jc w:val="center"/>
        <w:rPr>
          <w:rFonts w:eastAsia="Times New Roman" w:cs="Calibri"/>
          <w:b/>
          <w:color w:val="0070C0"/>
          <w:sz w:val="80"/>
          <w:szCs w:val="80"/>
          <w:lang w:eastAsia="fr-FR"/>
        </w:rPr>
      </w:pPr>
      <w:r>
        <w:rPr>
          <w:rFonts w:eastAsia="Times New Roman" w:cs="Calibri"/>
          <w:b/>
          <w:color w:val="0070C0"/>
          <w:sz w:val="56"/>
          <w:szCs w:val="56"/>
          <w:lang w:eastAsia="fr-FR"/>
        </w:rPr>
        <w:br/>
      </w:r>
      <w:r>
        <w:rPr>
          <w:rFonts w:eastAsia="Times New Roman" w:cs="Calibri"/>
          <w:b/>
          <w:color w:val="0070C0"/>
          <w:sz w:val="80"/>
          <w:szCs w:val="80"/>
          <w:lang w:eastAsia="fr-FR"/>
        </w:rPr>
        <w:t>Justification des dépenses</w:t>
      </w:r>
    </w:p>
    <w:p>
      <w:pPr>
        <w:pBdr>
          <w:top w:val="single" w:sz="4" w:space="1" w:color="auto"/>
          <w:left w:val="single" w:sz="4" w:space="4" w:color="auto"/>
          <w:bottom w:val="single" w:sz="4" w:space="1" w:color="auto"/>
          <w:right w:val="single" w:sz="4" w:space="0" w:color="auto"/>
        </w:pBdr>
        <w:spacing w:after="0"/>
        <w:ind w:left="0" w:firstLine="0"/>
        <w:jc w:val="center"/>
        <w:rPr>
          <w:rFonts w:eastAsia="Times New Roman" w:cs="Calibri"/>
          <w:b/>
          <w:sz w:val="48"/>
          <w:szCs w:val="48"/>
          <w:lang w:eastAsia="fr-FR"/>
        </w:rPr>
      </w:pPr>
    </w:p>
    <w:p>
      <w:pPr>
        <w:spacing w:after="0"/>
        <w:ind w:left="180" w:right="-26" w:hanging="180"/>
        <w:jc w:val="center"/>
        <w:rPr>
          <w:rFonts w:eastAsia="Times New Roman" w:cs="Calibri"/>
          <w:b/>
          <w:sz w:val="28"/>
          <w:szCs w:val="24"/>
          <w:lang w:eastAsia="fr-FR"/>
        </w:rPr>
      </w:pPr>
    </w:p>
    <w:p>
      <w:pPr>
        <w:spacing w:after="0"/>
        <w:ind w:left="180" w:right="-26" w:hanging="180"/>
        <w:jc w:val="center"/>
        <w:rPr>
          <w:rFonts w:eastAsia="Times New Roman" w:cs="Calibri"/>
          <w:b/>
          <w:sz w:val="28"/>
          <w:szCs w:val="24"/>
          <w:lang w:eastAsia="fr-FR"/>
        </w:rPr>
      </w:pPr>
    </w:p>
    <w:p>
      <w:pPr>
        <w:spacing w:after="0"/>
        <w:ind w:left="180" w:right="-26" w:hanging="180"/>
        <w:jc w:val="center"/>
        <w:rPr>
          <w:rFonts w:eastAsia="Times New Roman" w:cs="Calibri"/>
          <w:b/>
          <w:sz w:val="28"/>
          <w:szCs w:val="24"/>
          <w:lang w:eastAsia="fr-FR"/>
        </w:rPr>
      </w:pPr>
    </w:p>
    <w:p>
      <w:pPr>
        <w:tabs>
          <w:tab w:val="right" w:pos="9639"/>
        </w:tabs>
        <w:spacing w:after="0"/>
        <w:ind w:left="0" w:firstLine="0"/>
        <w:rPr>
          <w:rFonts w:ascii="Times New Roman" w:eastAsia="Times New Roman" w:hAnsi="Times New Roman"/>
          <w:sz w:val="24"/>
          <w:szCs w:val="24"/>
          <w:lang w:eastAsia="fr-FR"/>
        </w:rPr>
      </w:pPr>
      <w:r>
        <w:rPr>
          <w:rFonts w:ascii="Times New Roman" w:eastAsia="Times New Roman" w:hAnsi="Times New Roman"/>
          <w:noProof/>
          <w:sz w:val="24"/>
          <w:szCs w:val="24"/>
          <w:lang w:eastAsia="fr-BE"/>
        </w:rPr>
        <w:drawing>
          <wp:inline distT="0" distB="0" distL="0" distR="0">
            <wp:extent cx="1351915" cy="318135"/>
            <wp:effectExtent l="19050" t="19050" r="19685" b="24765"/>
            <wp:docPr id="4"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1915" cy="318135"/>
                    </a:xfrm>
                    <a:prstGeom prst="rect">
                      <a:avLst/>
                    </a:prstGeom>
                    <a:noFill/>
                    <a:ln w="12700" cmpd="sng">
                      <a:solidFill>
                        <a:srgbClr val="000000"/>
                      </a:solidFill>
                      <a:miter lim="800000"/>
                      <a:headEnd/>
                      <a:tailEnd/>
                    </a:ln>
                    <a:effectLst/>
                  </pic:spPr>
                </pic:pic>
              </a:graphicData>
            </a:graphic>
          </wp:inline>
        </w:drawing>
      </w:r>
      <w:r>
        <w:rPr>
          <w:rFonts w:ascii="Times New Roman" w:eastAsia="Times New Roman" w:hAnsi="Times New Roman"/>
          <w:sz w:val="24"/>
          <w:szCs w:val="24"/>
          <w:lang w:eastAsia="fr-FR"/>
        </w:rPr>
        <w:tab/>
      </w:r>
      <w:r>
        <w:rPr>
          <w:rFonts w:ascii="Times New Roman" w:eastAsia="Times New Roman" w:hAnsi="Times New Roman"/>
          <w:noProof/>
          <w:sz w:val="24"/>
          <w:szCs w:val="24"/>
          <w:lang w:eastAsia="fr-BE"/>
        </w:rPr>
        <w:drawing>
          <wp:inline distT="0" distB="0" distL="0" distR="0">
            <wp:extent cx="3363595" cy="318135"/>
            <wp:effectExtent l="19050" t="19050" r="27305" b="24765"/>
            <wp:docPr id="3" name="Image 64" descr="Banner 30x315_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4" descr="Banner 30x315_20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3595" cy="318135"/>
                    </a:xfrm>
                    <a:prstGeom prst="rect">
                      <a:avLst/>
                    </a:prstGeom>
                    <a:noFill/>
                    <a:ln w="12700" cmpd="sng">
                      <a:solidFill>
                        <a:srgbClr val="000000"/>
                      </a:solidFill>
                      <a:miter lim="800000"/>
                      <a:headEnd/>
                      <a:tailEnd/>
                    </a:ln>
                    <a:effectLst/>
                  </pic:spPr>
                </pic:pic>
              </a:graphicData>
            </a:graphic>
          </wp:inline>
        </w:drawing>
      </w:r>
    </w:p>
    <w:p>
      <w:pPr>
        <w:tabs>
          <w:tab w:val="right" w:pos="9639"/>
        </w:tabs>
        <w:spacing w:after="0"/>
        <w:ind w:left="0" w:firstLine="0"/>
        <w:jc w:val="center"/>
        <w:rPr>
          <w:rFonts w:eastAsia="Times New Roman" w:cs="Calibri"/>
          <w:sz w:val="32"/>
          <w:szCs w:val="32"/>
          <w:lang w:eastAsia="fr-FR"/>
        </w:rPr>
      </w:pPr>
      <w:r>
        <w:rPr>
          <w:rFonts w:eastAsia="Times New Roman" w:cs="Calibri"/>
          <w:sz w:val="32"/>
          <w:szCs w:val="32"/>
          <w:lang w:eastAsia="fr-FR"/>
        </w:rPr>
        <w:br w:type="page"/>
      </w:r>
    </w:p>
    <w:p>
      <w:pPr>
        <w:pBdr>
          <w:top w:val="single" w:sz="12" w:space="1" w:color="auto"/>
          <w:left w:val="single" w:sz="12" w:space="12" w:color="auto"/>
          <w:bottom w:val="single" w:sz="12" w:space="0" w:color="auto"/>
          <w:right w:val="single" w:sz="12" w:space="4" w:color="auto"/>
        </w:pBdr>
        <w:tabs>
          <w:tab w:val="left" w:pos="8505"/>
        </w:tabs>
        <w:spacing w:after="360"/>
        <w:ind w:left="0" w:firstLine="0"/>
        <w:jc w:val="center"/>
        <w:rPr>
          <w:rFonts w:eastAsia="Times New Roman" w:cs="Calibri"/>
          <w:b/>
          <w:bCs/>
          <w:sz w:val="36"/>
          <w:szCs w:val="36"/>
          <w:lang w:eastAsia="fr-FR"/>
        </w:rPr>
      </w:pPr>
      <w:r>
        <w:rPr>
          <w:rFonts w:eastAsia="Times New Roman" w:cs="Calibri"/>
          <w:b/>
          <w:bCs/>
          <w:sz w:val="36"/>
          <w:szCs w:val="36"/>
          <w:lang w:eastAsia="fr-FR"/>
        </w:rPr>
        <w:t>I. Maintenance des équipements CTA</w:t>
      </w:r>
    </w:p>
    <w:p>
      <w:pPr>
        <w:tabs>
          <w:tab w:val="left" w:pos="8505"/>
        </w:tabs>
        <w:ind w:left="0" w:firstLine="0"/>
        <w:rPr>
          <w:rFonts w:eastAsia="Times New Roman" w:cs="Calibri"/>
          <w:lang w:eastAsia="fr-FR"/>
        </w:rPr>
      </w:pPr>
      <w:r>
        <w:rPr>
          <w:rFonts w:eastAsia="Times New Roman" w:cs="Calibri"/>
          <w:lang w:eastAsia="fr-FR"/>
        </w:rPr>
        <w:t xml:space="preserve">Le fonds de maintenance des équipements CTA est destiné à prendre en charge les frais de maintenance engagés par les Centres de Technologies Avancées au cours de l’année civile. Ces frais concernent la maintenance préventive et curative de leurs équipements. </w:t>
      </w:r>
    </w:p>
    <w:p>
      <w:pPr>
        <w:tabs>
          <w:tab w:val="left" w:pos="8505"/>
        </w:tabs>
        <w:ind w:left="0" w:firstLine="0"/>
        <w:rPr>
          <w:rFonts w:eastAsia="Times New Roman"/>
          <w:lang w:eastAsia="fr-FR"/>
        </w:rPr>
      </w:pPr>
      <w:r>
        <w:rPr>
          <w:rFonts w:eastAsia="Times New Roman"/>
          <w:lang w:eastAsia="fr-FR"/>
        </w:rPr>
        <w:t xml:space="preserve">La </w:t>
      </w:r>
      <w:r>
        <w:rPr>
          <w:rFonts w:eastAsia="Times New Roman"/>
          <w:b/>
          <w:u w:val="single"/>
          <w:lang w:eastAsia="fr-FR"/>
        </w:rPr>
        <w:t>maintenance préventive</w:t>
      </w:r>
      <w:r>
        <w:rPr>
          <w:rFonts w:eastAsia="Times New Roman"/>
          <w:lang w:eastAsia="fr-FR"/>
        </w:rPr>
        <w:t xml:space="preserve"> désigne le remplacement, la révision, ou la réfection d’un élément matériel avant que celui-ci n’entraine une avarie. Il s’agit donc d’une maintenance exécutée à des intervalles prédéterminés ou selon des critères prescrits et destinée à réduire la probabilité de défaillance ou la dégradation du fonctionnement d’un bien. </w:t>
      </w:r>
    </w:p>
    <w:p>
      <w:pPr>
        <w:tabs>
          <w:tab w:val="left" w:pos="8505"/>
        </w:tabs>
        <w:ind w:left="0" w:firstLine="0"/>
        <w:rPr>
          <w:rFonts w:eastAsia="Times New Roman"/>
          <w:lang w:eastAsia="fr-FR"/>
        </w:rPr>
      </w:pPr>
      <w:r>
        <w:rPr>
          <w:rFonts w:eastAsia="Times New Roman"/>
          <w:lang w:eastAsia="fr-FR"/>
        </w:rPr>
        <w:t xml:space="preserve">La </w:t>
      </w:r>
      <w:r>
        <w:rPr>
          <w:rFonts w:eastAsia="Times New Roman"/>
          <w:b/>
          <w:u w:val="single"/>
          <w:lang w:eastAsia="fr-FR"/>
        </w:rPr>
        <w:t xml:space="preserve">maintenance curative </w:t>
      </w:r>
      <w:r>
        <w:rPr>
          <w:rFonts w:eastAsia="Times New Roman"/>
          <w:lang w:eastAsia="fr-FR"/>
        </w:rPr>
        <w:t>consiste à intervenir sur un équipement une fois que celui-ci est défaillant. Dans ce cas, le remboursement n’a lieu que si l’appareil concerné est victime d’une panne, d’usure ou a subi une casse non couverte par l’assurance. De plus, cet équipement ne doit plus être couvert par une garantie et doit avoir bénéficié d’une maintenance préventive.</w:t>
      </w:r>
    </w:p>
    <w:p>
      <w:pPr>
        <w:ind w:left="0" w:firstLine="0"/>
        <w:rPr>
          <w:rFonts w:eastAsia="Times New Roman"/>
          <w:lang w:eastAsia="fr-FR"/>
        </w:rPr>
      </w:pPr>
      <w:r>
        <w:rPr>
          <w:rFonts w:eastAsia="Times New Roman"/>
          <w:lang w:eastAsia="fr-FR"/>
        </w:rPr>
        <w:t xml:space="preserve">Sont éligibles les frais de maintenance occasionnés pour des équipements pédagogiques : </w:t>
      </w:r>
    </w:p>
    <w:p>
      <w:pPr>
        <w:numPr>
          <w:ilvl w:val="0"/>
          <w:numId w:val="3"/>
        </w:numPr>
        <w:spacing w:after="0"/>
        <w:ind w:left="714" w:hanging="357"/>
        <w:jc w:val="left"/>
        <w:rPr>
          <w:rFonts w:eastAsia="Times New Roman"/>
          <w:lang w:eastAsia="fr-FR"/>
        </w:rPr>
      </w:pPr>
      <w:r>
        <w:rPr>
          <w:rFonts w:eastAsia="Times New Roman"/>
          <w:lang w:eastAsia="fr-FR"/>
        </w:rPr>
        <w:t>co-financés par la Fédération Wallonie-Bruxelles et le Fonds européens de développement régional,</w:t>
      </w:r>
    </w:p>
    <w:p>
      <w:pPr>
        <w:numPr>
          <w:ilvl w:val="0"/>
          <w:numId w:val="3"/>
        </w:numPr>
        <w:spacing w:after="0"/>
        <w:ind w:left="714" w:hanging="357"/>
        <w:jc w:val="left"/>
        <w:rPr>
          <w:rFonts w:eastAsia="Times New Roman"/>
          <w:lang w:eastAsia="fr-FR"/>
        </w:rPr>
      </w:pPr>
      <w:r>
        <w:rPr>
          <w:rFonts w:eastAsia="Times New Roman"/>
          <w:lang w:eastAsia="fr-FR"/>
        </w:rPr>
        <w:t xml:space="preserve">achetés, mis à disposition et assurés par la Fédération Wallonie-Bruxelles, </w:t>
      </w:r>
    </w:p>
    <w:p>
      <w:pPr>
        <w:numPr>
          <w:ilvl w:val="0"/>
          <w:numId w:val="3"/>
        </w:numPr>
        <w:spacing w:after="0"/>
        <w:ind w:left="714" w:hanging="357"/>
        <w:jc w:val="left"/>
        <w:rPr>
          <w:rFonts w:eastAsia="Times New Roman"/>
          <w:lang w:eastAsia="fr-FR"/>
        </w:rPr>
      </w:pPr>
      <w:r>
        <w:rPr>
          <w:rFonts w:eastAsia="Times New Roman"/>
          <w:lang w:eastAsia="fr-FR"/>
        </w:rPr>
        <w:t>présents au sein du CTA,</w:t>
      </w:r>
    </w:p>
    <w:p>
      <w:pPr>
        <w:numPr>
          <w:ilvl w:val="0"/>
          <w:numId w:val="3"/>
        </w:numPr>
        <w:spacing w:after="0"/>
        <w:jc w:val="left"/>
        <w:rPr>
          <w:rFonts w:eastAsia="Times New Roman"/>
          <w:lang w:eastAsia="fr-FR"/>
        </w:rPr>
      </w:pPr>
      <w:r>
        <w:rPr>
          <w:rFonts w:eastAsia="Times New Roman"/>
          <w:lang w:eastAsia="fr-FR"/>
        </w:rPr>
        <w:t>dédiés à la formation des publics-cibles.</w:t>
      </w:r>
    </w:p>
    <w:p>
      <w:pPr>
        <w:ind w:left="0" w:firstLine="0"/>
        <w:rPr>
          <w:rFonts w:eastAsia="Times New Roman"/>
          <w:b/>
          <w:lang w:eastAsia="fr-FR"/>
        </w:rPr>
      </w:pPr>
      <w:r>
        <w:rPr>
          <w:rFonts w:eastAsia="Times New Roman"/>
          <w:b/>
          <w:lang w:eastAsia="fr-FR"/>
        </w:rPr>
        <w:t>Seuls les frais engagés pour la maintenance des équipements pédagogiques techniques</w:t>
      </w:r>
      <w:r>
        <w:rPr>
          <w:rFonts w:eastAsia="Times New Roman"/>
          <w:b/>
          <w:vertAlign w:val="superscript"/>
          <w:lang w:eastAsia="fr-FR"/>
        </w:rPr>
        <w:footnoteReference w:id="1"/>
      </w:r>
      <w:r>
        <w:rPr>
          <w:rFonts w:eastAsia="Times New Roman"/>
          <w:b/>
          <w:lang w:eastAsia="fr-FR"/>
        </w:rPr>
        <w:t xml:space="preserve"> sont éligibles.</w:t>
      </w:r>
    </w:p>
    <w:p>
      <w:pPr>
        <w:ind w:left="0" w:firstLine="0"/>
        <w:rPr>
          <w:rFonts w:eastAsia="Times New Roman"/>
          <w:b/>
          <w:lang w:eastAsia="fr-FR"/>
        </w:rPr>
      </w:pPr>
      <w:r>
        <w:rPr>
          <w:rFonts w:eastAsia="Times New Roman"/>
          <w:b/>
          <w:lang w:eastAsia="fr-FR"/>
        </w:rPr>
        <w:t xml:space="preserve">Les frais relatifs à la maintenance des équipements du bâtiment du CTA et les frais de maintenance informatique autres que la mise à jour ou le renouvellement des licences des logiciels informatiques spécifiques ne peuvent être pris en charge par le fonds de maintenance. </w:t>
      </w:r>
    </w:p>
    <w:p>
      <w:pPr>
        <w:ind w:left="0" w:firstLine="0"/>
        <w:rPr>
          <w:rFonts w:eastAsia="Times New Roman"/>
          <w:b/>
          <w:lang w:eastAsia="fr-FR"/>
        </w:rPr>
      </w:pPr>
      <w:r>
        <w:rPr>
          <w:rFonts w:eastAsia="Times New Roman"/>
          <w:b/>
          <w:lang w:eastAsia="fr-FR"/>
        </w:rPr>
        <w:t xml:space="preserve">En ce qui concerne la mise à jour ou le renouvellement des licences des logiciels informatiques spécifiques, chaque réseau d’enseignement est libre de décider s’il souhaite rendre éligible ou non la prise en charge de ces frais pour ses CTA. </w:t>
      </w:r>
    </w:p>
    <w:p>
      <w:pPr>
        <w:numPr>
          <w:ilvl w:val="0"/>
          <w:numId w:val="4"/>
        </w:numPr>
        <w:spacing w:after="0"/>
        <w:jc w:val="left"/>
        <w:rPr>
          <w:rFonts w:eastAsia="Times New Roman"/>
          <w:b/>
          <w:u w:val="single"/>
          <w:lang w:eastAsia="fr-FR"/>
        </w:rPr>
      </w:pPr>
      <w:r>
        <w:rPr>
          <w:rFonts w:eastAsia="Times New Roman"/>
          <w:b/>
          <w:u w:val="single"/>
          <w:lang w:eastAsia="fr-FR"/>
        </w:rPr>
        <w:t>Procédure de remboursement et constitution d’un dossier justificatif</w:t>
      </w:r>
    </w:p>
    <w:p>
      <w:pPr>
        <w:ind w:left="0" w:firstLine="0"/>
        <w:rPr>
          <w:rFonts w:eastAsia="Times New Roman"/>
          <w:lang w:eastAsia="fr-FR"/>
        </w:rPr>
      </w:pPr>
      <w:r>
        <w:rPr>
          <w:rFonts w:eastAsia="Times New Roman"/>
          <w:lang w:eastAsia="fr-FR"/>
        </w:rPr>
        <w:t xml:space="preserve">Le remboursement des frais de maintenance se fait sur base de l’introduction auprès du chargé de mission CTA de chaque réseau d’un dossier justificatif constitué des documents suivants : </w:t>
      </w:r>
    </w:p>
    <w:p>
      <w:pPr>
        <w:numPr>
          <w:ilvl w:val="0"/>
          <w:numId w:val="5"/>
        </w:numPr>
        <w:spacing w:after="0"/>
        <w:ind w:left="714" w:hanging="357"/>
        <w:jc w:val="left"/>
        <w:rPr>
          <w:rFonts w:eastAsia="Times New Roman"/>
          <w:lang w:eastAsia="fr-FR"/>
        </w:rPr>
      </w:pPr>
      <w:r>
        <w:rPr>
          <w:rFonts w:eastAsia="Times New Roman"/>
          <w:lang w:eastAsia="fr-FR"/>
        </w:rPr>
        <w:t xml:space="preserve">Une déclaration de créance dûment signée et cachetée par le chef d’établissement </w:t>
      </w:r>
    </w:p>
    <w:p>
      <w:pPr>
        <w:numPr>
          <w:ilvl w:val="0"/>
          <w:numId w:val="5"/>
        </w:numPr>
        <w:spacing w:after="0"/>
        <w:ind w:left="714" w:hanging="357"/>
        <w:jc w:val="left"/>
        <w:rPr>
          <w:rFonts w:eastAsia="Times New Roman"/>
          <w:lang w:eastAsia="fr-FR"/>
        </w:rPr>
      </w:pPr>
      <w:r>
        <w:rPr>
          <w:rFonts w:eastAsia="Times New Roman"/>
          <w:lang w:eastAsia="fr-FR"/>
        </w:rPr>
        <w:t>Une copie des factures et des preuves de paiement (avis de débit d’ordre collectif et extrait bancaire) certifiées conformes par le chef d’établissement ou l’économe),</w:t>
      </w:r>
    </w:p>
    <w:p>
      <w:pPr>
        <w:numPr>
          <w:ilvl w:val="0"/>
          <w:numId w:val="5"/>
        </w:numPr>
        <w:spacing w:after="0"/>
        <w:ind w:left="714" w:hanging="357"/>
        <w:jc w:val="left"/>
        <w:rPr>
          <w:rFonts w:eastAsia="Times New Roman"/>
          <w:lang w:eastAsia="fr-FR"/>
        </w:rPr>
      </w:pPr>
      <w:r>
        <w:rPr>
          <w:rFonts w:eastAsia="Times New Roman"/>
          <w:lang w:eastAsia="fr-FR"/>
        </w:rPr>
        <w:t>Le bon de commande définissant clairement l’objet du marché,</w:t>
      </w:r>
    </w:p>
    <w:p>
      <w:pPr>
        <w:numPr>
          <w:ilvl w:val="0"/>
          <w:numId w:val="5"/>
        </w:numPr>
        <w:spacing w:after="0"/>
        <w:ind w:left="714" w:hanging="357"/>
        <w:jc w:val="left"/>
        <w:rPr>
          <w:rFonts w:eastAsia="Times New Roman"/>
          <w:lang w:eastAsia="fr-FR"/>
        </w:rPr>
      </w:pPr>
      <w:r>
        <w:rPr>
          <w:rFonts w:eastAsia="Times New Roman"/>
          <w:lang w:eastAsia="fr-FR"/>
        </w:rPr>
        <w:t xml:space="preserve">Les offres des firmes consultées ou les copies d’au moins 3 devis </w:t>
      </w:r>
      <w:r>
        <w:rPr>
          <w:rFonts w:eastAsia="Times New Roman"/>
          <w:u w:val="single"/>
          <w:lang w:eastAsia="fr-FR"/>
        </w:rPr>
        <w:t>datés</w:t>
      </w:r>
      <w:r>
        <w:rPr>
          <w:rFonts w:eastAsia="Times New Roman"/>
          <w:lang w:eastAsia="fr-FR"/>
        </w:rPr>
        <w:t>,</w:t>
      </w:r>
    </w:p>
    <w:p>
      <w:pPr>
        <w:numPr>
          <w:ilvl w:val="0"/>
          <w:numId w:val="5"/>
        </w:numPr>
        <w:spacing w:after="0"/>
        <w:ind w:left="714" w:hanging="357"/>
        <w:jc w:val="left"/>
        <w:rPr>
          <w:rFonts w:eastAsia="Times New Roman"/>
          <w:lang w:eastAsia="fr-FR"/>
        </w:rPr>
      </w:pPr>
      <w:r>
        <w:rPr>
          <w:rFonts w:eastAsia="Times New Roman"/>
          <w:lang w:eastAsia="fr-FR"/>
        </w:rPr>
        <w:t>La preuve de la demande de remise de prix (courrier ou courriel) envoyée aux soumissionnaires interrogés,</w:t>
      </w:r>
    </w:p>
    <w:p>
      <w:pPr>
        <w:numPr>
          <w:ilvl w:val="0"/>
          <w:numId w:val="5"/>
        </w:numPr>
        <w:spacing w:after="0"/>
        <w:ind w:left="714" w:hanging="357"/>
        <w:jc w:val="left"/>
        <w:rPr>
          <w:rFonts w:eastAsia="Times New Roman"/>
          <w:lang w:eastAsia="fr-FR"/>
        </w:rPr>
      </w:pPr>
      <w:r>
        <w:rPr>
          <w:rFonts w:eastAsia="Times New Roman"/>
          <w:lang w:eastAsia="fr-FR"/>
        </w:rPr>
        <w:t>La décision motivée d’attribution</w:t>
      </w:r>
    </w:p>
    <w:p>
      <w:pPr>
        <w:spacing w:after="0"/>
        <w:ind w:left="0" w:firstLine="0"/>
        <w:jc w:val="left"/>
        <w:rPr>
          <w:rFonts w:eastAsia="Times New Roman"/>
          <w:lang w:eastAsia="fr-FR"/>
        </w:rPr>
      </w:pPr>
      <w:r>
        <w:rPr>
          <w:rFonts w:eastAsia="Times New Roman"/>
          <w:lang w:eastAsia="fr-FR"/>
        </w:rPr>
        <w:br w:type="page"/>
      </w:r>
    </w:p>
    <w:p>
      <w:pPr>
        <w:ind w:left="0" w:firstLine="0"/>
        <w:rPr>
          <w:rFonts w:eastAsia="Times New Roman"/>
          <w:lang w:eastAsia="fr-FR"/>
        </w:rPr>
      </w:pPr>
      <w:r>
        <w:rPr>
          <w:rFonts w:eastAsia="Times New Roman"/>
          <w:lang w:eastAsia="fr-FR"/>
        </w:rPr>
        <w:t xml:space="preserve">En cas de maintenance curative, il convient de joindre la preuve que l’appareil concerné : </w:t>
      </w:r>
    </w:p>
    <w:p>
      <w:pPr>
        <w:numPr>
          <w:ilvl w:val="0"/>
          <w:numId w:val="6"/>
        </w:numPr>
        <w:spacing w:after="0"/>
        <w:jc w:val="left"/>
        <w:rPr>
          <w:rFonts w:eastAsia="Times New Roman"/>
          <w:lang w:eastAsia="fr-FR"/>
        </w:rPr>
      </w:pPr>
      <w:r>
        <w:rPr>
          <w:rFonts w:eastAsia="Times New Roman"/>
          <w:lang w:eastAsia="fr-FR"/>
        </w:rPr>
        <w:t>est victime d’une panne, d’usure ou a subi une casse non couverte par l’assurance</w:t>
      </w:r>
    </w:p>
    <w:p>
      <w:pPr>
        <w:numPr>
          <w:ilvl w:val="0"/>
          <w:numId w:val="6"/>
        </w:numPr>
        <w:spacing w:after="0"/>
        <w:jc w:val="left"/>
        <w:rPr>
          <w:rFonts w:eastAsia="Times New Roman"/>
          <w:lang w:eastAsia="fr-FR"/>
        </w:rPr>
      </w:pPr>
      <w:r>
        <w:rPr>
          <w:rFonts w:eastAsia="Times New Roman"/>
          <w:lang w:eastAsia="fr-FR"/>
        </w:rPr>
        <w:t>n’est plus couvert par une garantie</w:t>
      </w:r>
    </w:p>
    <w:p>
      <w:pPr>
        <w:numPr>
          <w:ilvl w:val="0"/>
          <w:numId w:val="6"/>
        </w:numPr>
        <w:spacing w:after="0"/>
        <w:ind w:left="714" w:hanging="357"/>
        <w:jc w:val="left"/>
        <w:rPr>
          <w:rFonts w:eastAsia="Times New Roman"/>
          <w:lang w:eastAsia="fr-FR"/>
        </w:rPr>
      </w:pPr>
      <w:r>
        <w:rPr>
          <w:rFonts w:eastAsia="Times New Roman"/>
          <w:lang w:eastAsia="fr-FR"/>
        </w:rPr>
        <w:t>a bénéficié d’une maintenance préventive.</w:t>
      </w:r>
    </w:p>
    <w:p>
      <w:pPr>
        <w:ind w:left="0" w:firstLine="0"/>
        <w:rPr>
          <w:rFonts w:eastAsia="Times New Roman"/>
          <w:lang w:eastAsia="fr-FR"/>
        </w:rPr>
      </w:pPr>
      <w:r>
        <w:rPr>
          <w:rFonts w:eastAsia="Times New Roman"/>
          <w:b/>
          <w:lang w:eastAsia="fr-FR"/>
        </w:rPr>
        <w:t xml:space="preserve">Les demandes de remboursement sont à introduire pour le </w:t>
      </w:r>
      <w:r>
        <w:rPr>
          <w:rFonts w:eastAsia="Times New Roman"/>
          <w:b/>
          <w:u w:val="single"/>
          <w:lang w:eastAsia="fr-FR"/>
        </w:rPr>
        <w:t>31 octobre au plus tard</w:t>
      </w:r>
      <w:r>
        <w:rPr>
          <w:rFonts w:eastAsia="Times New Roman"/>
          <w:b/>
          <w:lang w:eastAsia="fr-FR"/>
        </w:rPr>
        <w:t xml:space="preserve">. </w:t>
      </w:r>
      <w:r>
        <w:rPr>
          <w:rFonts w:eastAsia="Times New Roman"/>
          <w:lang w:eastAsia="fr-FR"/>
        </w:rPr>
        <w:t xml:space="preserve">Les dossiers introduits après cette date ne seront pas pris en compte. </w:t>
      </w:r>
    </w:p>
    <w:p>
      <w:pPr>
        <w:ind w:left="0" w:firstLine="0"/>
        <w:rPr>
          <w:rFonts w:eastAsia="Times New Roman"/>
          <w:lang w:eastAsia="fr-FR"/>
        </w:rPr>
      </w:pPr>
      <w:r>
        <w:rPr>
          <w:rFonts w:eastAsia="Times New Roman"/>
          <w:lang w:eastAsia="fr-FR"/>
        </w:rPr>
        <w:t xml:space="preserve">Les demandes de remboursement sont à adresser par courrier à l’adresse suivante : </w:t>
      </w:r>
    </w:p>
    <w:p>
      <w:pPr>
        <w:spacing w:after="40"/>
        <w:ind w:left="0" w:firstLine="0"/>
        <w:jc w:val="center"/>
        <w:rPr>
          <w:rFonts w:eastAsia="Times New Roman"/>
          <w:lang w:eastAsia="fr-FR"/>
        </w:rPr>
      </w:pPr>
      <w:r>
        <w:rPr>
          <w:rFonts w:eastAsia="Times New Roman"/>
          <w:lang w:eastAsia="fr-FR"/>
        </w:rPr>
        <w:t>Ministère de la Fédération Wallonie-Bruxelles</w:t>
      </w:r>
    </w:p>
    <w:p>
      <w:pPr>
        <w:spacing w:after="40"/>
        <w:ind w:left="0" w:firstLine="0"/>
        <w:jc w:val="center"/>
        <w:rPr>
          <w:rFonts w:eastAsia="Times New Roman"/>
          <w:lang w:eastAsia="fr-FR"/>
        </w:rPr>
      </w:pPr>
      <w:r>
        <w:rPr>
          <w:rFonts w:eastAsia="Times New Roman"/>
          <w:lang w:eastAsia="fr-FR"/>
        </w:rPr>
        <w:t>Direction générale de l’enseignement obligatoire</w:t>
      </w:r>
    </w:p>
    <w:p>
      <w:pPr>
        <w:spacing w:after="40"/>
        <w:ind w:left="0" w:firstLine="0"/>
        <w:jc w:val="center"/>
        <w:rPr>
          <w:rFonts w:eastAsia="Times New Roman"/>
          <w:lang w:eastAsia="fr-FR"/>
        </w:rPr>
      </w:pPr>
      <w:r>
        <w:rPr>
          <w:rFonts w:eastAsia="Times New Roman"/>
          <w:lang w:eastAsia="fr-FR"/>
        </w:rPr>
        <w:t>Direction « Relation Ecoles – Monde du Travail »</w:t>
      </w:r>
    </w:p>
    <w:p>
      <w:pPr>
        <w:spacing w:after="40"/>
        <w:ind w:left="0" w:firstLine="0"/>
        <w:jc w:val="center"/>
        <w:rPr>
          <w:rFonts w:eastAsia="Times New Roman"/>
          <w:lang w:eastAsia="fr-FR"/>
        </w:rPr>
      </w:pPr>
      <w:r>
        <w:rPr>
          <w:rFonts w:eastAsia="Times New Roman"/>
          <w:lang w:eastAsia="fr-FR"/>
        </w:rPr>
        <w:t>Service Fonds d’équipement, CTA et Cadastre</w:t>
      </w:r>
    </w:p>
    <w:p>
      <w:pPr>
        <w:spacing w:after="40"/>
        <w:ind w:left="0" w:firstLine="0"/>
        <w:jc w:val="center"/>
        <w:rPr>
          <w:rFonts w:eastAsia="Times New Roman"/>
          <w:lang w:eastAsia="fr-FR"/>
        </w:rPr>
      </w:pPr>
      <w:r>
        <w:rPr>
          <w:rFonts w:eastAsia="Times New Roman"/>
          <w:lang w:eastAsia="fr-FR"/>
        </w:rPr>
        <w:t>Bureau 1F130</w:t>
      </w:r>
    </w:p>
    <w:p>
      <w:pPr>
        <w:spacing w:after="40"/>
        <w:ind w:left="0" w:firstLine="0"/>
        <w:jc w:val="center"/>
        <w:rPr>
          <w:rFonts w:eastAsia="Times New Roman"/>
          <w:lang w:eastAsia="fr-FR"/>
        </w:rPr>
      </w:pPr>
      <w:r>
        <w:rPr>
          <w:rFonts w:eastAsia="Times New Roman"/>
          <w:lang w:eastAsia="fr-FR"/>
        </w:rPr>
        <w:t>Rue A. Lavallée 1</w:t>
      </w:r>
    </w:p>
    <w:p>
      <w:pPr>
        <w:spacing w:after="0"/>
        <w:ind w:left="0" w:firstLine="0"/>
        <w:jc w:val="center"/>
        <w:rPr>
          <w:rFonts w:eastAsia="Times New Roman"/>
          <w:lang w:eastAsia="fr-FR"/>
        </w:rPr>
      </w:pPr>
      <w:r>
        <w:rPr>
          <w:rFonts w:eastAsia="Times New Roman"/>
          <w:lang w:eastAsia="fr-FR"/>
        </w:rPr>
        <w:t>1080 Bruxelles</w:t>
      </w:r>
    </w:p>
    <w:p>
      <w:pPr>
        <w:pBdr>
          <w:top w:val="single" w:sz="12" w:space="1" w:color="auto"/>
          <w:left w:val="single" w:sz="12" w:space="12" w:color="auto"/>
          <w:bottom w:val="single" w:sz="12" w:space="0" w:color="auto"/>
          <w:right w:val="single" w:sz="12" w:space="4" w:color="auto"/>
        </w:pBdr>
        <w:tabs>
          <w:tab w:val="left" w:pos="8505"/>
        </w:tabs>
        <w:spacing w:after="360"/>
        <w:ind w:left="0" w:firstLine="0"/>
        <w:jc w:val="center"/>
        <w:rPr>
          <w:rFonts w:eastAsia="Times New Roman" w:cs="Calibri"/>
          <w:b/>
          <w:bCs/>
          <w:sz w:val="36"/>
          <w:szCs w:val="36"/>
          <w:lang w:eastAsia="fr-FR"/>
        </w:rPr>
      </w:pPr>
      <w:r>
        <w:rPr>
          <w:rFonts w:eastAsia="Times New Roman" w:cs="Calibri"/>
          <w:b/>
          <w:bCs/>
          <w:sz w:val="36"/>
          <w:szCs w:val="36"/>
          <w:lang w:eastAsia="fr-FR"/>
        </w:rPr>
        <w:br w:type="page"/>
      </w:r>
      <w:r>
        <w:rPr>
          <w:rFonts w:eastAsia="Times New Roman" w:cs="Calibri"/>
          <w:b/>
          <w:bCs/>
          <w:sz w:val="36"/>
          <w:szCs w:val="36"/>
          <w:lang w:eastAsia="fr-FR"/>
        </w:rPr>
        <w:lastRenderedPageBreak/>
        <w:t>II. Documents du dossier justificatif</w:t>
      </w:r>
    </w:p>
    <w:p>
      <w:pPr>
        <w:numPr>
          <w:ilvl w:val="0"/>
          <w:numId w:val="7"/>
        </w:numPr>
        <w:spacing w:after="0"/>
        <w:ind w:left="426"/>
        <w:jc w:val="left"/>
        <w:rPr>
          <w:rFonts w:eastAsia="Times New Roman" w:cs="Calibri"/>
          <w:b/>
          <w:bCs/>
          <w:sz w:val="26"/>
          <w:szCs w:val="26"/>
          <w:lang w:val="fr-FR" w:eastAsia="fr-FR"/>
        </w:rPr>
      </w:pPr>
      <w:r>
        <w:rPr>
          <w:rFonts w:eastAsia="Times New Roman" w:cs="Calibri"/>
          <w:b/>
          <w:sz w:val="26"/>
          <w:szCs w:val="26"/>
          <w:lang w:val="fr-FR" w:eastAsia="fr-FR"/>
        </w:rPr>
        <w:t>Déclaration de créance</w:t>
      </w:r>
    </w:p>
    <w:p>
      <w:pPr>
        <w:ind w:left="0" w:firstLine="0"/>
        <w:rPr>
          <w:rFonts w:eastAsia="Times New Roman" w:cs="Calibri"/>
          <w:lang w:eastAsia="fr-FR"/>
        </w:rPr>
      </w:pPr>
      <w:r>
        <w:rPr>
          <w:rFonts w:eastAsia="Times New Roman" w:cs="Calibri"/>
          <w:lang w:eastAsia="fr-FR"/>
        </w:rPr>
        <w:t xml:space="preserve">Chaque CTA est invité à compléter </w:t>
      </w:r>
      <w:r>
        <w:rPr>
          <w:rFonts w:eastAsia="Times New Roman" w:cs="Calibri"/>
          <w:b/>
          <w:u w:val="single"/>
          <w:lang w:eastAsia="fr-FR"/>
        </w:rPr>
        <w:t>sous format Excel</w:t>
      </w:r>
      <w:r>
        <w:rPr>
          <w:rFonts w:eastAsia="Times New Roman" w:cs="Calibri"/>
          <w:lang w:eastAsia="fr-FR"/>
        </w:rPr>
        <w:t xml:space="preserve"> le modèle de déclaration de créance mis à sa disposition. Une fois la déclaration de créance complétée électroniquement, celle-ci doit être imprimée, datée, signée par le déclarant et jointe au dossier justificatif.</w:t>
      </w:r>
    </w:p>
    <w:p>
      <w:pPr>
        <w:ind w:left="0" w:firstLine="0"/>
        <w:rPr>
          <w:rFonts w:eastAsia="Times New Roman" w:cs="Calibri"/>
          <w:lang w:eastAsia="fr-FR"/>
        </w:rPr>
      </w:pPr>
      <w:r>
        <w:rPr>
          <w:rFonts w:eastAsia="Times New Roman" w:cs="Calibri"/>
          <w:lang w:eastAsia="fr-FR"/>
        </w:rPr>
        <w:t xml:space="preserve">Ce formulaire est disponible sur le partage sécurisé CTA. </w:t>
      </w:r>
    </w:p>
    <w:p>
      <w:pPr>
        <w:ind w:left="0" w:firstLine="0"/>
        <w:rPr>
          <w:rFonts w:eastAsia="Times New Roman" w:cs="Calibri"/>
          <w:lang w:eastAsia="fr-FR"/>
        </w:rPr>
      </w:pPr>
      <w:r>
        <w:rPr>
          <w:rFonts w:eastAsia="Times New Roman" w:cs="Calibri"/>
          <w:lang w:eastAsia="fr-FR"/>
        </w:rPr>
        <w:t xml:space="preserve">La déclaration de créance est divisée en deux parties. Elle se présente de la manière suivante :  </w:t>
      </w:r>
    </w:p>
    <w:p>
      <w:pPr>
        <w:numPr>
          <w:ilvl w:val="0"/>
          <w:numId w:val="9"/>
        </w:numPr>
        <w:spacing w:after="0"/>
        <w:jc w:val="left"/>
        <w:rPr>
          <w:rFonts w:eastAsia="Times New Roman" w:cs="Calibri"/>
          <w:b/>
          <w:u w:val="single"/>
          <w:lang w:eastAsia="fr-FR"/>
        </w:rPr>
      </w:pPr>
      <w:r>
        <w:rPr>
          <w:rFonts w:eastAsia="Times New Roman" w:cs="Calibri"/>
          <w:b/>
          <w:u w:val="single"/>
          <w:lang w:eastAsia="fr-FR"/>
        </w:rPr>
        <w:t xml:space="preserve">Partie 1 : </w:t>
      </w:r>
    </w:p>
    <w:p>
      <w:pPr>
        <w:ind w:left="0" w:firstLine="0"/>
        <w:jc w:val="left"/>
        <w:rPr>
          <w:rFonts w:eastAsia="Times New Roman" w:cs="Calibri"/>
          <w:lang w:eastAsia="fr-FR"/>
        </w:rPr>
      </w:pPr>
      <w:r>
        <w:rPr>
          <w:rFonts w:ascii="Times New Roman" w:eastAsia="Times New Roman" w:hAnsi="Times New Roman"/>
          <w:noProof/>
          <w:sz w:val="24"/>
          <w:szCs w:val="24"/>
          <w:lang w:eastAsia="fr-BE"/>
        </w:rPr>
        <w:drawing>
          <wp:inline distT="0" distB="0" distL="0" distR="0">
            <wp:extent cx="6114415" cy="4492625"/>
            <wp:effectExtent l="19050" t="19050" r="19685" b="22225"/>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4415" cy="4492625"/>
                    </a:xfrm>
                    <a:prstGeom prst="rect">
                      <a:avLst/>
                    </a:prstGeom>
                    <a:noFill/>
                    <a:ln w="12700" cmpd="sng">
                      <a:solidFill>
                        <a:srgbClr val="000000"/>
                      </a:solidFill>
                      <a:miter lim="800000"/>
                      <a:headEnd/>
                      <a:tailEnd/>
                    </a:ln>
                    <a:effectLst/>
                  </pic:spPr>
                </pic:pic>
              </a:graphicData>
            </a:graphic>
          </wp:inline>
        </w:drawing>
      </w:r>
    </w:p>
    <w:p>
      <w:pPr>
        <w:ind w:left="0" w:firstLine="0"/>
        <w:rPr>
          <w:rFonts w:eastAsia="Times New Roman" w:cs="Calibri"/>
          <w:lang w:eastAsia="fr-FR"/>
        </w:rPr>
      </w:pPr>
      <w:r>
        <w:rPr>
          <w:rFonts w:eastAsia="Times New Roman" w:cs="Calibri"/>
          <w:lang w:eastAsia="fr-FR"/>
        </w:rPr>
        <w:t xml:space="preserve">L’encodeur est invité à compléter les différents champs et/ou sélectionner dans les listes déroulantes prédéfinies les intitulés se rapportant à son CTA.  </w:t>
      </w:r>
    </w:p>
    <w:p>
      <w:pPr>
        <w:ind w:left="0" w:firstLine="0"/>
        <w:rPr>
          <w:rFonts w:eastAsia="Times New Roman" w:cs="Calibri"/>
          <w:lang w:eastAsia="fr-FR"/>
        </w:rPr>
      </w:pPr>
      <w:r>
        <w:rPr>
          <w:rFonts w:eastAsia="Times New Roman" w:cs="Calibri"/>
          <w:highlight w:val="yellow"/>
          <w:lang w:eastAsia="fr-FR"/>
        </w:rPr>
        <w:t>Le N° de la DC</w:t>
      </w:r>
      <w:r>
        <w:rPr>
          <w:rFonts w:eastAsia="Times New Roman" w:cs="Calibri"/>
          <w:lang w:eastAsia="fr-FR"/>
        </w:rPr>
        <w:t xml:space="preserve"> affiché dans la partie supérieure droite du document est généré automatiquement et ne doit dès lors pas être complété ou modifié. Ce numéro de référence – composé du numéro Fase du CTA et de la date du jour de l’encodage – vise à faciliter le traitement et le suivi des demandes de remboursement des frais de maintenance introduites auprès de l’administration. </w:t>
      </w:r>
    </w:p>
    <w:p>
      <w:pPr>
        <w:ind w:left="0" w:firstLine="0"/>
        <w:jc w:val="left"/>
        <w:rPr>
          <w:rFonts w:eastAsia="Times New Roman" w:cs="Calibri"/>
          <w:lang w:eastAsia="fr-FR"/>
        </w:rPr>
      </w:pPr>
    </w:p>
    <w:p>
      <w:pPr>
        <w:ind w:left="0" w:firstLine="0"/>
        <w:jc w:val="left"/>
        <w:rPr>
          <w:rFonts w:eastAsia="Times New Roman" w:cs="Calibri"/>
          <w:lang w:eastAsia="fr-FR"/>
        </w:rPr>
      </w:pPr>
    </w:p>
    <w:p>
      <w:pPr>
        <w:ind w:left="0" w:firstLine="0"/>
        <w:jc w:val="left"/>
        <w:rPr>
          <w:rFonts w:eastAsia="Times New Roman" w:cs="Calibri"/>
          <w:lang w:eastAsia="fr-FR"/>
        </w:rPr>
      </w:pPr>
    </w:p>
    <w:p>
      <w:pPr>
        <w:numPr>
          <w:ilvl w:val="0"/>
          <w:numId w:val="9"/>
        </w:numPr>
        <w:spacing w:after="0"/>
        <w:jc w:val="left"/>
        <w:rPr>
          <w:rFonts w:eastAsia="Times New Roman" w:cs="Calibri"/>
          <w:b/>
          <w:u w:val="single"/>
          <w:lang w:eastAsia="fr-FR"/>
        </w:rPr>
      </w:pPr>
      <w:r>
        <w:rPr>
          <w:rFonts w:eastAsia="Times New Roman" w:cs="Calibri"/>
          <w:lang w:eastAsia="fr-FR"/>
        </w:rPr>
        <w:br w:type="page"/>
      </w:r>
      <w:r>
        <w:rPr>
          <w:rFonts w:eastAsia="Times New Roman" w:cs="Calibri"/>
          <w:b/>
          <w:u w:val="single"/>
          <w:lang w:eastAsia="fr-FR"/>
        </w:rPr>
        <w:lastRenderedPageBreak/>
        <w:t xml:space="preserve">Partie 2 : </w:t>
      </w:r>
    </w:p>
    <w:p>
      <w:pPr>
        <w:ind w:left="0" w:firstLine="0"/>
        <w:jc w:val="left"/>
        <w:rPr>
          <w:rFonts w:eastAsia="Times New Roman" w:cs="Calibri"/>
          <w:lang w:eastAsia="fr-FR"/>
        </w:rPr>
      </w:pPr>
      <w:r>
        <w:rPr>
          <w:rFonts w:ascii="Times New Roman" w:eastAsia="Times New Roman" w:hAnsi="Times New Roman"/>
          <w:noProof/>
          <w:sz w:val="24"/>
          <w:szCs w:val="24"/>
          <w:lang w:eastAsia="fr-BE"/>
        </w:rPr>
        <w:drawing>
          <wp:inline distT="0" distB="0" distL="0" distR="0">
            <wp:extent cx="6122670" cy="4540250"/>
            <wp:effectExtent l="19050" t="19050" r="11430" b="1270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670" cy="4540250"/>
                    </a:xfrm>
                    <a:prstGeom prst="rect">
                      <a:avLst/>
                    </a:prstGeom>
                    <a:noFill/>
                    <a:ln w="12700" cmpd="sng">
                      <a:solidFill>
                        <a:srgbClr val="000000"/>
                      </a:solidFill>
                      <a:miter lim="800000"/>
                      <a:headEnd/>
                      <a:tailEnd/>
                    </a:ln>
                    <a:effectLst/>
                  </pic:spPr>
                </pic:pic>
              </a:graphicData>
            </a:graphic>
          </wp:inline>
        </w:drawing>
      </w:r>
    </w:p>
    <w:p>
      <w:pPr>
        <w:ind w:left="0" w:firstLine="0"/>
        <w:rPr>
          <w:rFonts w:eastAsia="Times New Roman" w:cs="Calibri"/>
          <w:lang w:eastAsia="fr-FR"/>
        </w:rPr>
      </w:pPr>
      <w:r>
        <w:rPr>
          <w:rFonts w:eastAsia="Times New Roman" w:cs="Calibri"/>
          <w:lang w:eastAsia="fr-FR"/>
        </w:rPr>
        <w:t xml:space="preserve">Dans cette seconde partie, le déclarant est invité à encoder dans le tableau les informations relatives aux différentes factures introduites auprès de l’administration. Les informations demandées sont les suivantes : </w:t>
      </w:r>
    </w:p>
    <w:p>
      <w:pPr>
        <w:numPr>
          <w:ilvl w:val="0"/>
          <w:numId w:val="8"/>
        </w:numPr>
        <w:spacing w:after="0"/>
        <w:ind w:left="714" w:hanging="357"/>
        <w:jc w:val="left"/>
        <w:rPr>
          <w:rFonts w:eastAsia="Times New Roman" w:cs="Calibri"/>
          <w:lang w:eastAsia="fr-FR"/>
        </w:rPr>
      </w:pPr>
      <w:r>
        <w:rPr>
          <w:rFonts w:eastAsia="Times New Roman" w:cs="Calibri"/>
          <w:lang w:eastAsia="fr-FR"/>
        </w:rPr>
        <w:t>équipement concerné (objet de la dépense),</w:t>
      </w:r>
    </w:p>
    <w:p>
      <w:pPr>
        <w:numPr>
          <w:ilvl w:val="0"/>
          <w:numId w:val="8"/>
        </w:numPr>
        <w:spacing w:after="0"/>
        <w:ind w:left="714" w:hanging="357"/>
        <w:jc w:val="left"/>
        <w:rPr>
          <w:rFonts w:eastAsia="Times New Roman" w:cs="Calibri"/>
          <w:lang w:eastAsia="fr-FR"/>
        </w:rPr>
      </w:pPr>
      <w:r>
        <w:rPr>
          <w:rFonts w:eastAsia="Times New Roman" w:cs="Calibri"/>
          <w:lang w:eastAsia="fr-FR"/>
        </w:rPr>
        <w:t>dénomination du fournisseur,</w:t>
      </w:r>
    </w:p>
    <w:p>
      <w:pPr>
        <w:numPr>
          <w:ilvl w:val="0"/>
          <w:numId w:val="8"/>
        </w:numPr>
        <w:spacing w:after="0"/>
        <w:ind w:left="714" w:hanging="357"/>
        <w:jc w:val="left"/>
        <w:rPr>
          <w:rFonts w:eastAsia="Times New Roman" w:cs="Calibri"/>
          <w:lang w:eastAsia="fr-FR"/>
        </w:rPr>
      </w:pPr>
      <w:r>
        <w:rPr>
          <w:rFonts w:eastAsia="Times New Roman" w:cs="Calibri"/>
          <w:lang w:eastAsia="fr-FR"/>
        </w:rPr>
        <w:t>numéro de référence de la facture,</w:t>
      </w:r>
    </w:p>
    <w:p>
      <w:pPr>
        <w:numPr>
          <w:ilvl w:val="0"/>
          <w:numId w:val="8"/>
        </w:numPr>
        <w:spacing w:after="0"/>
        <w:ind w:left="714" w:hanging="357"/>
        <w:jc w:val="left"/>
        <w:rPr>
          <w:rFonts w:eastAsia="Times New Roman" w:cs="Calibri"/>
          <w:lang w:eastAsia="fr-FR"/>
        </w:rPr>
      </w:pPr>
      <w:r>
        <w:rPr>
          <w:rFonts w:eastAsia="Times New Roman" w:cs="Calibri"/>
          <w:lang w:eastAsia="fr-FR"/>
        </w:rPr>
        <w:t>date de la facture,</w:t>
      </w:r>
    </w:p>
    <w:p>
      <w:pPr>
        <w:numPr>
          <w:ilvl w:val="0"/>
          <w:numId w:val="8"/>
        </w:numPr>
        <w:spacing w:after="0"/>
        <w:jc w:val="left"/>
        <w:rPr>
          <w:rFonts w:eastAsia="Times New Roman" w:cs="Calibri"/>
          <w:lang w:eastAsia="fr-FR"/>
        </w:rPr>
      </w:pPr>
      <w:r>
        <w:rPr>
          <w:rFonts w:eastAsia="Times New Roman" w:cs="Calibri"/>
          <w:lang w:eastAsia="fr-FR"/>
        </w:rPr>
        <w:t>montant TVAC de la facture.</w:t>
      </w:r>
    </w:p>
    <w:p>
      <w:pPr>
        <w:ind w:left="0" w:firstLine="0"/>
        <w:rPr>
          <w:rFonts w:eastAsia="Times New Roman" w:cs="Calibri"/>
          <w:b/>
          <w:lang w:eastAsia="fr-FR"/>
        </w:rPr>
      </w:pPr>
      <w:r>
        <w:rPr>
          <w:rFonts w:eastAsia="Times New Roman" w:cs="Calibri"/>
          <w:b/>
          <w:lang w:eastAsia="fr-FR"/>
        </w:rPr>
        <w:t xml:space="preserve">Ne pas oublier de dater et signer le document sous peine d’irrecevabilité du dossier justificatif !! </w:t>
      </w:r>
    </w:p>
    <w:p>
      <w:pPr>
        <w:numPr>
          <w:ilvl w:val="0"/>
          <w:numId w:val="7"/>
        </w:numPr>
        <w:spacing w:after="0"/>
        <w:ind w:left="426"/>
        <w:jc w:val="left"/>
        <w:rPr>
          <w:rFonts w:eastAsia="Times New Roman" w:cs="Calibri"/>
          <w:b/>
          <w:bCs/>
          <w:sz w:val="26"/>
          <w:szCs w:val="26"/>
          <w:lang w:val="fr-FR" w:eastAsia="fr-FR"/>
        </w:rPr>
      </w:pPr>
      <w:r>
        <w:rPr>
          <w:rFonts w:eastAsia="Times New Roman" w:cs="Calibri"/>
          <w:b/>
          <w:sz w:val="26"/>
          <w:szCs w:val="26"/>
          <w:lang w:val="fr-FR" w:eastAsia="fr-FR"/>
        </w:rPr>
        <w:t>Facture et preuve de paiement</w:t>
      </w:r>
    </w:p>
    <w:p>
      <w:pPr>
        <w:ind w:left="0" w:firstLine="0"/>
        <w:rPr>
          <w:rFonts w:eastAsia="Times New Roman" w:cs="Calibri"/>
          <w:b/>
          <w:sz w:val="24"/>
          <w:szCs w:val="24"/>
          <w:u w:val="single"/>
          <w:lang w:eastAsia="fr-FR"/>
        </w:rPr>
      </w:pPr>
      <w:r>
        <w:rPr>
          <w:rFonts w:eastAsia="Times New Roman" w:cs="Calibri"/>
          <w:b/>
          <w:sz w:val="24"/>
          <w:szCs w:val="24"/>
          <w:u w:val="single"/>
          <w:lang w:eastAsia="fr-FR"/>
        </w:rPr>
        <w:t>Facture</w:t>
      </w:r>
    </w:p>
    <w:p>
      <w:pPr>
        <w:ind w:left="0" w:firstLine="0"/>
        <w:rPr>
          <w:rFonts w:eastAsia="Times New Roman" w:cs="Calibri"/>
          <w:lang w:eastAsia="fr-FR"/>
        </w:rPr>
      </w:pPr>
      <w:r>
        <w:rPr>
          <w:rFonts w:eastAsia="Times New Roman" w:cs="Calibri"/>
          <w:lang w:eastAsia="fr-FR"/>
        </w:rPr>
        <w:t xml:space="preserve">Le déclarant est prié de faire parvenir à l’Administration </w:t>
      </w:r>
      <w:r>
        <w:rPr>
          <w:rFonts w:eastAsia="Times New Roman" w:cs="Calibri"/>
          <w:b/>
          <w:lang w:eastAsia="fr-FR"/>
        </w:rPr>
        <w:t>la copie des factures contractées</w:t>
      </w:r>
      <w:r>
        <w:rPr>
          <w:rFonts w:eastAsia="Times New Roman" w:cs="Calibri"/>
          <w:lang w:eastAsia="fr-FR"/>
        </w:rPr>
        <w:t xml:space="preserve"> dans le cadre de la passation des marchés publics et de conserver au sein de l’établissement les factures originales. </w:t>
      </w:r>
    </w:p>
    <w:p>
      <w:pPr>
        <w:ind w:left="0" w:firstLine="0"/>
        <w:rPr>
          <w:rFonts w:eastAsia="Times New Roman" w:cs="Calibri"/>
          <w:lang w:eastAsia="fr-FR"/>
        </w:rPr>
      </w:pPr>
      <w:r>
        <w:rPr>
          <w:rFonts w:eastAsia="Times New Roman" w:cs="Calibri"/>
          <w:lang w:eastAsia="fr-FR"/>
        </w:rPr>
        <w:t xml:space="preserve">Le numéro et la date de la facture doivent être clairement lisibles. </w:t>
      </w:r>
    </w:p>
    <w:p>
      <w:pPr>
        <w:spacing w:after="0"/>
        <w:ind w:left="0" w:firstLine="0"/>
        <w:jc w:val="left"/>
        <w:rPr>
          <w:rFonts w:eastAsia="Times New Roman" w:cs="Calibri"/>
          <w:lang w:eastAsia="fr-FR"/>
        </w:rPr>
      </w:pPr>
      <w:r>
        <w:rPr>
          <w:rFonts w:eastAsia="Times New Roman" w:cs="Calibri"/>
          <w:lang w:eastAsia="fr-FR"/>
        </w:rPr>
        <w:br w:type="page"/>
      </w:r>
    </w:p>
    <w:p>
      <w:pPr>
        <w:ind w:left="0" w:firstLine="0"/>
        <w:rPr>
          <w:rFonts w:eastAsia="Times New Roman" w:cs="Calibri"/>
          <w:lang w:eastAsia="fr-FR"/>
        </w:rPr>
      </w:pPr>
      <w:r>
        <w:rPr>
          <w:rFonts w:eastAsia="Times New Roman" w:cs="Calibri"/>
          <w:lang w:eastAsia="fr-FR"/>
        </w:rPr>
        <w:t xml:space="preserve">Pour chaque facture présentée, le déclarant doit être en mesure de présenter l’ensemble des pièces justificatives attendues (preuve de paiement, bon de commande, décision motivée d’attribution, offres retenue et non retenues,…). </w:t>
      </w:r>
    </w:p>
    <w:p>
      <w:pPr>
        <w:ind w:left="0" w:firstLine="0"/>
        <w:rPr>
          <w:rFonts w:eastAsia="Times New Roman" w:cs="Calibri"/>
          <w:b/>
          <w:sz w:val="24"/>
          <w:szCs w:val="24"/>
          <w:u w:val="single"/>
          <w:lang w:eastAsia="fr-FR"/>
        </w:rPr>
      </w:pPr>
      <w:r>
        <w:rPr>
          <w:rFonts w:eastAsia="Times New Roman" w:cs="Calibri"/>
          <w:b/>
          <w:sz w:val="24"/>
          <w:szCs w:val="24"/>
          <w:u w:val="single"/>
          <w:lang w:eastAsia="fr-FR"/>
        </w:rPr>
        <w:t>Preuve de paiement</w:t>
      </w:r>
    </w:p>
    <w:p>
      <w:pPr>
        <w:ind w:left="0" w:firstLine="0"/>
        <w:rPr>
          <w:rFonts w:eastAsia="Times New Roman" w:cs="Calibri"/>
          <w:lang w:eastAsia="fr-FR"/>
        </w:rPr>
      </w:pPr>
      <w:r>
        <w:rPr>
          <w:rFonts w:eastAsia="Times New Roman" w:cs="Calibri"/>
          <w:lang w:eastAsia="fr-FR"/>
        </w:rPr>
        <w:t xml:space="preserve">Seuls </w:t>
      </w:r>
      <w:r>
        <w:rPr>
          <w:rFonts w:eastAsia="Times New Roman" w:cs="Calibri"/>
          <w:b/>
          <w:lang w:eastAsia="fr-FR"/>
        </w:rPr>
        <w:t>les extraits bancaires</w:t>
      </w:r>
      <w:r>
        <w:rPr>
          <w:rFonts w:eastAsia="Times New Roman" w:cs="Calibri"/>
          <w:lang w:eastAsia="fr-FR"/>
        </w:rPr>
        <w:t xml:space="preserve"> sont acceptés comme preuve de paiement. </w:t>
      </w:r>
    </w:p>
    <w:p>
      <w:pPr>
        <w:ind w:left="0" w:firstLine="0"/>
        <w:rPr>
          <w:rFonts w:eastAsia="Times New Roman" w:cs="Calibri"/>
          <w:lang w:eastAsia="fr-FR"/>
        </w:rPr>
      </w:pPr>
      <w:r>
        <w:rPr>
          <w:rFonts w:eastAsia="Times New Roman" w:cs="Calibri"/>
          <w:lang w:eastAsia="fr-FR"/>
        </w:rPr>
        <w:t xml:space="preserve">Dans le cas de paiements collectifs réalisés à partir d’un avis de débit d’ordre collectif, </w:t>
      </w:r>
      <w:r>
        <w:rPr>
          <w:rFonts w:eastAsia="Times New Roman" w:cs="Calibri"/>
          <w:b/>
          <w:lang w:eastAsia="fr-FR"/>
        </w:rPr>
        <w:t>l’ensemble des documents suivants</w:t>
      </w:r>
      <w:r>
        <w:rPr>
          <w:rFonts w:eastAsia="Times New Roman" w:cs="Calibri"/>
          <w:lang w:eastAsia="fr-FR"/>
        </w:rPr>
        <w:t xml:space="preserve"> </w:t>
      </w:r>
      <w:r>
        <w:rPr>
          <w:rFonts w:eastAsia="Times New Roman" w:cs="Calibri"/>
          <w:u w:val="single"/>
          <w:lang w:eastAsia="fr-FR"/>
        </w:rPr>
        <w:t>doit impérativement figurer</w:t>
      </w:r>
      <w:r>
        <w:rPr>
          <w:rFonts w:eastAsia="Times New Roman" w:cs="Calibri"/>
          <w:lang w:eastAsia="fr-FR"/>
        </w:rPr>
        <w:t xml:space="preserve"> dans le dossier justificatif : </w:t>
      </w:r>
    </w:p>
    <w:p>
      <w:pPr>
        <w:numPr>
          <w:ilvl w:val="0"/>
          <w:numId w:val="1"/>
        </w:numPr>
        <w:spacing w:after="0"/>
        <w:ind w:left="714" w:hanging="357"/>
        <w:jc w:val="left"/>
        <w:rPr>
          <w:rFonts w:eastAsia="Times New Roman" w:cs="Calibri"/>
          <w:lang w:eastAsia="fr-FR"/>
        </w:rPr>
      </w:pPr>
      <w:r>
        <w:rPr>
          <w:rFonts w:eastAsia="Times New Roman" w:cs="Calibri"/>
          <w:lang w:eastAsia="fr-FR"/>
        </w:rPr>
        <w:t xml:space="preserve">La page de l’avis de débit d’ordre collectif sur laquelle figure le montant de la facture, </w:t>
      </w:r>
    </w:p>
    <w:p>
      <w:pPr>
        <w:numPr>
          <w:ilvl w:val="0"/>
          <w:numId w:val="1"/>
        </w:numPr>
        <w:spacing w:after="0"/>
        <w:ind w:left="714" w:hanging="357"/>
        <w:jc w:val="left"/>
        <w:rPr>
          <w:rFonts w:eastAsia="Times New Roman" w:cs="Calibri"/>
          <w:lang w:eastAsia="fr-FR"/>
        </w:rPr>
      </w:pPr>
      <w:r>
        <w:rPr>
          <w:rFonts w:eastAsia="Times New Roman" w:cs="Calibri"/>
          <w:lang w:eastAsia="fr-FR"/>
        </w:rPr>
        <w:t>La page de l’avis de débit d’ordre collectif sur laquelle est repris le montant total de l’avis qui fait l’objet du paiement,</w:t>
      </w:r>
    </w:p>
    <w:p>
      <w:pPr>
        <w:numPr>
          <w:ilvl w:val="0"/>
          <w:numId w:val="1"/>
        </w:numPr>
        <w:spacing w:after="0"/>
        <w:jc w:val="left"/>
        <w:rPr>
          <w:rFonts w:eastAsia="Times New Roman" w:cs="Calibri"/>
          <w:lang w:eastAsia="fr-FR"/>
        </w:rPr>
      </w:pPr>
      <w:r>
        <w:rPr>
          <w:rFonts w:eastAsia="Times New Roman" w:cs="Calibri"/>
          <w:lang w:eastAsia="fr-FR"/>
        </w:rPr>
        <w:t xml:space="preserve">L’extrait bancaire reprenant le montant total de l’avis de débit d’ordre collectif ayant fait l »objet du paiement. </w:t>
      </w:r>
    </w:p>
    <w:p>
      <w:pPr>
        <w:ind w:left="0" w:firstLine="0"/>
        <w:rPr>
          <w:rFonts w:eastAsia="Times New Roman" w:cs="Calibri"/>
          <w:lang w:eastAsia="fr-FR"/>
        </w:rPr>
      </w:pPr>
      <w:r>
        <w:rPr>
          <w:rFonts w:eastAsia="Times New Roman" w:cs="Calibri"/>
          <w:lang w:eastAsia="fr-FR"/>
        </w:rPr>
        <w:t xml:space="preserve">L’avis de débit d’ordre collectif à lui seul </w:t>
      </w:r>
      <w:r>
        <w:rPr>
          <w:rFonts w:eastAsia="Times New Roman" w:cs="Calibri"/>
          <w:b/>
          <w:lang w:eastAsia="fr-FR"/>
        </w:rPr>
        <w:t>ne prouve pas que l’argent ait bien été débité du compte de l’établissement</w:t>
      </w:r>
      <w:r>
        <w:rPr>
          <w:rFonts w:eastAsia="Times New Roman" w:cs="Calibri"/>
          <w:lang w:eastAsia="fr-FR"/>
        </w:rPr>
        <w:t>. L’extrait bancaire doit donc obligatoirement accompagner l’avis de débit d’ordre collectif pour que celui-ci soit jugé recevable.</w:t>
      </w:r>
    </w:p>
    <w:p>
      <w:pPr>
        <w:numPr>
          <w:ilvl w:val="0"/>
          <w:numId w:val="7"/>
        </w:numPr>
        <w:spacing w:after="0"/>
        <w:ind w:left="426"/>
        <w:jc w:val="left"/>
        <w:rPr>
          <w:rFonts w:eastAsia="Times New Roman" w:cs="Calibri"/>
          <w:b/>
          <w:sz w:val="26"/>
          <w:szCs w:val="26"/>
          <w:lang w:val="fr-FR" w:eastAsia="fr-FR"/>
        </w:rPr>
      </w:pPr>
      <w:r>
        <w:rPr>
          <w:rFonts w:eastAsia="Times New Roman" w:cs="Calibri"/>
          <w:b/>
          <w:sz w:val="26"/>
          <w:szCs w:val="26"/>
          <w:lang w:val="fr-FR" w:eastAsia="fr-FR"/>
        </w:rPr>
        <w:t xml:space="preserve">Bon de commande </w:t>
      </w:r>
    </w:p>
    <w:p>
      <w:pPr>
        <w:ind w:left="0" w:firstLine="0"/>
        <w:rPr>
          <w:rFonts w:eastAsia="Times New Roman" w:cs="Calibri"/>
          <w:lang w:eastAsia="fr-FR"/>
        </w:rPr>
      </w:pPr>
      <w:r>
        <w:rPr>
          <w:rFonts w:eastAsia="Times New Roman" w:cs="Calibri"/>
          <w:lang w:eastAsia="fr-FR"/>
        </w:rPr>
        <w:t xml:space="preserve">La commande s’effectue via la rédaction d’un bon de commande à l’entête du CTA. Celui-ci doit impérativement mentionner la référence de l’offre retenue dans le cadre du marché public, identifier l’objet et le montant du marché ainsi que la date d’émission du document. </w:t>
      </w:r>
    </w:p>
    <w:p>
      <w:pPr>
        <w:numPr>
          <w:ilvl w:val="0"/>
          <w:numId w:val="7"/>
        </w:numPr>
        <w:spacing w:after="0"/>
        <w:ind w:left="426"/>
        <w:jc w:val="left"/>
        <w:rPr>
          <w:rFonts w:eastAsia="Times New Roman" w:cs="Calibri"/>
          <w:b/>
          <w:sz w:val="26"/>
          <w:szCs w:val="26"/>
          <w:lang w:val="fr-FR" w:eastAsia="fr-FR"/>
        </w:rPr>
      </w:pPr>
      <w:r>
        <w:rPr>
          <w:rFonts w:eastAsia="Times New Roman" w:cs="Calibri"/>
          <w:b/>
          <w:sz w:val="26"/>
          <w:szCs w:val="26"/>
          <w:lang w:val="fr-FR" w:eastAsia="fr-FR"/>
        </w:rPr>
        <w:t>Rapport d’attribution</w:t>
      </w:r>
    </w:p>
    <w:p>
      <w:pPr>
        <w:ind w:left="0" w:firstLine="0"/>
        <w:rPr>
          <w:rFonts w:eastAsia="Times New Roman" w:cs="Calibri"/>
          <w:lang w:eastAsia="fr-FR"/>
        </w:rPr>
      </w:pPr>
      <w:r>
        <w:rPr>
          <w:rFonts w:eastAsia="Times New Roman" w:cs="Calibri"/>
          <w:lang w:eastAsia="fr-FR"/>
        </w:rPr>
        <w:t xml:space="preserve">Tout marché public, quel que soit le montant en jeu, </w:t>
      </w:r>
      <w:r>
        <w:rPr>
          <w:rFonts w:eastAsia="Times New Roman" w:cs="Calibri"/>
          <w:b/>
          <w:u w:val="single"/>
          <w:lang w:eastAsia="fr-FR"/>
        </w:rPr>
        <w:t>doit obligatoirement faire l’objet d’un rapport d’attribution</w:t>
      </w:r>
      <w:r>
        <w:rPr>
          <w:rFonts w:eastAsia="Times New Roman" w:cs="Calibri"/>
          <w:lang w:eastAsia="fr-FR"/>
        </w:rPr>
        <w:t xml:space="preserve"> dans lequel le pouvoir adjudicateur justifie de manière objective le choix du soumissionnaire retenu au regard des principes de la mise en concurrence. </w:t>
      </w:r>
    </w:p>
    <w:p>
      <w:pPr>
        <w:ind w:left="0" w:firstLine="0"/>
        <w:rPr>
          <w:rFonts w:eastAsia="Times New Roman" w:cs="Calibri"/>
          <w:lang w:eastAsia="fr-FR"/>
        </w:rPr>
      </w:pPr>
      <w:r>
        <w:rPr>
          <w:rFonts w:eastAsia="Times New Roman" w:cs="Calibri"/>
          <w:lang w:eastAsia="fr-FR"/>
        </w:rPr>
        <w:t xml:space="preserve">Les critères d’attribution doivent être liés à l’objet du marché et permettre une comparaison objective des offres. Le prix demeure un critère essentiel puisque la prise en compte de l’impact financier que représente l’exécution d’une prestation constitue une règle élémentaire de bonne administration. </w:t>
      </w:r>
    </w:p>
    <w:p>
      <w:pPr>
        <w:ind w:left="0" w:firstLine="0"/>
        <w:rPr>
          <w:rFonts w:eastAsia="Times New Roman" w:cs="Calibri"/>
          <w:lang w:val="fr-FR" w:eastAsia="fr-FR"/>
        </w:rPr>
      </w:pPr>
      <w:r>
        <w:rPr>
          <w:rFonts w:eastAsia="Times New Roman" w:cs="Calibri"/>
          <w:b/>
          <w:lang w:val="fr-FR" w:eastAsia="fr-FR"/>
        </w:rPr>
        <w:t xml:space="preserve">Ce document doit être daté et signé </w:t>
      </w:r>
      <w:r>
        <w:rPr>
          <w:rFonts w:eastAsia="Times New Roman" w:cs="Calibri"/>
          <w:lang w:val="fr-FR" w:eastAsia="fr-FR"/>
        </w:rPr>
        <w:t xml:space="preserve">par la personne habilitée à engager le pouvoir adjudicateur. </w:t>
      </w:r>
    </w:p>
    <w:p>
      <w:pPr>
        <w:ind w:left="0" w:firstLine="0"/>
        <w:rPr>
          <w:rFonts w:eastAsia="Times New Roman"/>
          <w:lang w:eastAsia="fr-FR"/>
        </w:rPr>
      </w:pPr>
      <w:bookmarkStart w:id="0" w:name="Adresse"/>
      <w:bookmarkStart w:id="1" w:name="Correspondant"/>
      <w:bookmarkStart w:id="2" w:name="Vlettre"/>
      <w:bookmarkStart w:id="3" w:name="Vréférences"/>
      <w:bookmarkStart w:id="4" w:name="Annexes"/>
      <w:bookmarkStart w:id="5" w:name="Objet"/>
      <w:bookmarkEnd w:id="0"/>
      <w:bookmarkEnd w:id="1"/>
      <w:bookmarkEnd w:id="2"/>
      <w:bookmarkEnd w:id="3"/>
      <w:bookmarkEnd w:id="4"/>
      <w:bookmarkEnd w:id="5"/>
      <w:r>
        <w:rPr>
          <w:rFonts w:eastAsia="Times New Roman"/>
          <w:lang w:eastAsia="fr-FR"/>
        </w:rPr>
        <w:t xml:space="preserve">L’évaluation du montant des offres se fait </w:t>
      </w:r>
      <w:r>
        <w:rPr>
          <w:rFonts w:eastAsia="Times New Roman"/>
          <w:b/>
          <w:u w:val="single"/>
          <w:lang w:eastAsia="fr-FR"/>
        </w:rPr>
        <w:t>taxe sur la valeur ajoutée comprise</w:t>
      </w:r>
      <w:r>
        <w:rPr>
          <w:rFonts w:eastAsia="Times New Roman"/>
          <w:lang w:eastAsia="fr-FR"/>
        </w:rPr>
        <w:t xml:space="preserve">. Toutefois, la Fédération Wallonie-Bruxelles étant assujettie à la TVA, le paiement de la TVA intracommunautaire – en cas de facture conclue avec une firme étrangère – devra nécessairement être effectué auprès du SPF Finances. </w:t>
      </w:r>
    </w:p>
    <w:p>
      <w:pPr>
        <w:pBdr>
          <w:top w:val="single" w:sz="4" w:space="1" w:color="auto"/>
          <w:left w:val="single" w:sz="4" w:space="4" w:color="auto"/>
          <w:bottom w:val="single" w:sz="4" w:space="1" w:color="auto"/>
          <w:right w:val="single" w:sz="4" w:space="4" w:color="auto"/>
        </w:pBdr>
        <w:ind w:left="0" w:firstLine="0"/>
        <w:rPr>
          <w:rFonts w:eastAsia="Times New Roman" w:cs="Calibri"/>
          <w:b/>
          <w:lang w:val="fr-FR" w:eastAsia="fr-FR"/>
        </w:rPr>
      </w:pPr>
      <w:r>
        <w:rPr>
          <w:rFonts w:eastAsia="Times New Roman" w:cs="Calibri"/>
          <w:b/>
          <w:lang w:val="fr-FR" w:eastAsia="fr-FR"/>
        </w:rPr>
        <w:t xml:space="preserve">Lorsqu’une société possède une exclusivité technologique par rapport à un équipement recherché, étant de ce fait la seule à pouvoir remettre offre, elle doit être en mesure de fournir une attestation d’exclusivité !! </w:t>
      </w:r>
    </w:p>
    <w:p>
      <w:pPr>
        <w:ind w:left="0" w:firstLine="0"/>
        <w:rPr>
          <w:rFonts w:eastAsia="Times New Roman" w:cs="Calibri"/>
          <w:lang w:val="fr-FR" w:eastAsia="fr-FR"/>
        </w:rPr>
      </w:pPr>
      <w:r>
        <w:rPr>
          <w:rFonts w:eastAsia="Times New Roman" w:cs="Calibri"/>
          <w:lang w:val="fr-FR" w:eastAsia="fr-FR"/>
        </w:rPr>
        <w:t xml:space="preserve">Dans le cas où le bénéficiaire n’obtient au terme de sa demande de remise de prix qu’une seule offre, il doit être en mesure de démontrer qu’il a bien mis en concurrence le marché, en fournissant la copie des courriers/courriels envoyés aux différentes entreprises sollicitées. Pour espérer obtenir au moins trois offres de prix, il est recommandé de contacter au minimum cinq sociétés différentes. </w:t>
      </w:r>
    </w:p>
    <w:p>
      <w:pPr>
        <w:ind w:left="0" w:firstLine="0"/>
        <w:rPr>
          <w:rFonts w:eastAsia="Times New Roman" w:cs="Calibri"/>
          <w:lang w:val="fr-FR" w:eastAsia="fr-FR"/>
        </w:rPr>
      </w:pPr>
      <w:r>
        <w:rPr>
          <w:rFonts w:eastAsia="Times New Roman" w:cs="Calibri"/>
          <w:lang w:val="fr-FR" w:eastAsia="fr-FR"/>
        </w:rPr>
        <w:t xml:space="preserve">Les informations devant figurer dans le rapport d’attribution sont les suivantes : </w:t>
      </w:r>
    </w:p>
    <w:p>
      <w:pPr>
        <w:numPr>
          <w:ilvl w:val="0"/>
          <w:numId w:val="2"/>
        </w:numPr>
        <w:spacing w:after="0"/>
        <w:ind w:left="748" w:hanging="357"/>
        <w:jc w:val="left"/>
        <w:rPr>
          <w:rFonts w:eastAsia="Times New Roman" w:cs="Calibri"/>
          <w:lang w:val="fr-FR" w:eastAsia="fr-FR"/>
        </w:rPr>
      </w:pPr>
      <w:r>
        <w:rPr>
          <w:rFonts w:eastAsia="Times New Roman" w:cs="Calibri"/>
          <w:lang w:val="fr-FR" w:eastAsia="fr-FR"/>
        </w:rPr>
        <w:t>Le nom des sociétés interrogées dans le cadre du marché,</w:t>
      </w:r>
    </w:p>
    <w:p>
      <w:pPr>
        <w:numPr>
          <w:ilvl w:val="0"/>
          <w:numId w:val="2"/>
        </w:numPr>
        <w:spacing w:after="0"/>
        <w:ind w:left="748" w:hanging="357"/>
        <w:jc w:val="left"/>
        <w:rPr>
          <w:rFonts w:eastAsia="Times New Roman" w:cs="Calibri"/>
          <w:lang w:val="fr-FR" w:eastAsia="fr-FR"/>
        </w:rPr>
      </w:pPr>
      <w:r>
        <w:rPr>
          <w:rFonts w:eastAsia="Times New Roman" w:cs="Calibri"/>
          <w:lang w:val="fr-FR" w:eastAsia="fr-FR"/>
        </w:rPr>
        <w:t xml:space="preserve">Les références (date et n° de référence) des offres régulières reçues, </w:t>
      </w:r>
    </w:p>
    <w:p>
      <w:pPr>
        <w:numPr>
          <w:ilvl w:val="0"/>
          <w:numId w:val="2"/>
        </w:numPr>
        <w:spacing w:after="0"/>
        <w:ind w:left="748" w:hanging="357"/>
        <w:jc w:val="left"/>
        <w:rPr>
          <w:rFonts w:eastAsia="Times New Roman" w:cs="Calibri"/>
          <w:lang w:val="fr-FR" w:eastAsia="fr-FR"/>
        </w:rPr>
      </w:pPr>
      <w:r>
        <w:rPr>
          <w:rFonts w:eastAsia="Times New Roman" w:cs="Calibri"/>
          <w:lang w:val="fr-FR" w:eastAsia="fr-FR"/>
        </w:rPr>
        <w:t>Les montants des offres hors TVA et TVAC,</w:t>
      </w:r>
    </w:p>
    <w:p>
      <w:pPr>
        <w:numPr>
          <w:ilvl w:val="0"/>
          <w:numId w:val="2"/>
        </w:numPr>
        <w:spacing w:after="0"/>
        <w:ind w:left="748" w:hanging="357"/>
        <w:jc w:val="left"/>
        <w:rPr>
          <w:rFonts w:eastAsia="Times New Roman" w:cs="Calibri"/>
          <w:lang w:val="fr-FR" w:eastAsia="fr-FR"/>
        </w:rPr>
      </w:pPr>
      <w:r>
        <w:rPr>
          <w:rFonts w:eastAsia="Times New Roman" w:cs="Calibri"/>
          <w:lang w:val="fr-FR" w:eastAsia="fr-FR"/>
        </w:rPr>
        <w:t>Le nom de la société à qui est attribué le marché,</w:t>
      </w:r>
    </w:p>
    <w:p>
      <w:pPr>
        <w:numPr>
          <w:ilvl w:val="0"/>
          <w:numId w:val="2"/>
        </w:numPr>
        <w:spacing w:after="0"/>
        <w:ind w:left="748" w:hanging="357"/>
        <w:jc w:val="left"/>
        <w:rPr>
          <w:rFonts w:eastAsia="Times New Roman" w:cs="Calibri"/>
          <w:lang w:val="fr-FR" w:eastAsia="fr-FR"/>
        </w:rPr>
      </w:pPr>
      <w:r>
        <w:rPr>
          <w:rFonts w:eastAsia="Times New Roman" w:cs="Calibri"/>
          <w:lang w:val="fr-FR" w:eastAsia="fr-FR"/>
        </w:rPr>
        <w:lastRenderedPageBreak/>
        <w:t xml:space="preserve">La motivation de la décision d’attribuer le marché à cette société. </w:t>
      </w:r>
    </w:p>
    <w:p>
      <w:pPr>
        <w:numPr>
          <w:ilvl w:val="0"/>
          <w:numId w:val="7"/>
        </w:numPr>
        <w:spacing w:after="0"/>
        <w:ind w:left="426"/>
        <w:jc w:val="left"/>
        <w:rPr>
          <w:rFonts w:eastAsia="Times New Roman" w:cs="Calibri"/>
          <w:lang w:val="fr-FR" w:eastAsia="fr-FR"/>
        </w:rPr>
      </w:pPr>
      <w:r>
        <w:rPr>
          <w:rFonts w:eastAsia="Times New Roman" w:cs="Calibri"/>
          <w:b/>
          <w:sz w:val="26"/>
          <w:szCs w:val="26"/>
          <w:lang w:val="fr-FR" w:eastAsia="fr-FR"/>
        </w:rPr>
        <w:t>Preuve de la mise en concurrence</w:t>
      </w:r>
    </w:p>
    <w:p>
      <w:pPr>
        <w:ind w:left="0" w:firstLine="0"/>
        <w:jc w:val="left"/>
        <w:rPr>
          <w:rFonts w:eastAsia="Times New Roman" w:cs="Calibri"/>
          <w:lang w:eastAsia="fr-FR"/>
        </w:rPr>
      </w:pPr>
      <w:r>
        <w:rPr>
          <w:rFonts w:eastAsia="Times New Roman" w:cs="Calibri"/>
          <w:lang w:eastAsia="fr-FR"/>
        </w:rPr>
        <w:t>La législation en matière de marchés publics prévoit dans le cadre d’une procédure de faible montant (</w:t>
      </w:r>
      <w:hyperlink r:id="rId12" w:tooltip="≤" w:history="1">
        <w:r>
          <w:rPr>
            <w:rFonts w:eastAsia="Times New Roman" w:cs="Calibri"/>
            <w:lang w:eastAsia="fr-FR"/>
          </w:rPr>
          <w:t>≤</w:t>
        </w:r>
      </w:hyperlink>
      <w:r>
        <w:rPr>
          <w:rFonts w:eastAsia="Times New Roman" w:cs="Calibri"/>
          <w:lang w:eastAsia="fr-FR"/>
        </w:rPr>
        <w:t xml:space="preserve"> 30.000 € HTVA) la consultation de plusieurs fournisseurs.  Pour bien faire, le pouvoir adjudicateur doit obtenir </w:t>
      </w:r>
      <w:r>
        <w:rPr>
          <w:rFonts w:eastAsia="Times New Roman" w:cs="Calibri"/>
          <w:b/>
          <w:lang w:eastAsia="fr-FR"/>
        </w:rPr>
        <w:t xml:space="preserve">au moins 3 offres objectivement comparables </w:t>
      </w:r>
      <w:r>
        <w:rPr>
          <w:rFonts w:eastAsia="Times New Roman" w:cs="Calibri"/>
          <w:lang w:eastAsia="fr-FR"/>
        </w:rPr>
        <w:t xml:space="preserve">afin de démontrer le respect du principe de la mise en concurrence. </w:t>
      </w:r>
    </w:p>
    <w:p>
      <w:pPr>
        <w:ind w:left="0" w:firstLine="0"/>
        <w:rPr>
          <w:rFonts w:eastAsia="Times New Roman" w:cs="Calibri"/>
          <w:lang w:val="fr-FR" w:eastAsia="fr-FR"/>
        </w:rPr>
      </w:pPr>
      <w:r>
        <w:rPr>
          <w:rFonts w:eastAsia="Times New Roman" w:cs="Calibri"/>
          <w:lang w:val="fr-FR" w:eastAsia="fr-FR"/>
        </w:rPr>
        <w:t xml:space="preserve">Il est demandé au pouvoir adjudicateur de se réserver la preuve de la consultation d’un certain nombre de sociétés, en joignant au dossier justificatif une copie de sa demande de prix (exemple : la copie des mails envoyés aux soumissionnaires interrogés avec accusé de réception).  </w:t>
      </w:r>
    </w:p>
    <w:p>
      <w:pPr>
        <w:ind w:left="0" w:firstLine="0"/>
        <w:rPr>
          <w:rFonts w:eastAsia="Times New Roman" w:cs="Calibri"/>
          <w:i/>
          <w:sz w:val="20"/>
          <w:szCs w:val="20"/>
          <w:lang w:val="fr-FR" w:eastAsia="fr-FR"/>
        </w:rPr>
      </w:pPr>
      <w:r>
        <w:rPr>
          <w:rFonts w:eastAsia="Times New Roman" w:cs="Calibri"/>
          <w:i/>
          <w:sz w:val="20"/>
          <w:szCs w:val="20"/>
          <w:lang w:val="fr-FR" w:eastAsia="fr-FR"/>
        </w:rPr>
        <w:t>En cas de consultation d’offres de prix sur Internet – autorisée uniquement pour les marchés de faible montant – le pouvoir adjudicateur veillera à imprimer la page Internet consultée sur laquelle apparait clairement le prix du bien recherché et la date du jour de la consultation.</w:t>
      </w:r>
    </w:p>
    <w:p>
      <w:pPr>
        <w:ind w:left="0" w:firstLine="0"/>
        <w:rPr>
          <w:rFonts w:eastAsia="Times New Roman" w:cs="Calibri"/>
          <w:lang w:val="fr-FR" w:eastAsia="fr-FR"/>
        </w:rPr>
      </w:pPr>
      <w:r>
        <w:rPr>
          <w:rFonts w:eastAsia="Times New Roman" w:cs="Calibri"/>
          <w:lang w:val="fr-FR" w:eastAsia="fr-FR"/>
        </w:rPr>
        <w:t xml:space="preserve">Pour que la mise en concurrence puisse être attestée, il est indispensable que les offres comparées soient suffisamment proches dans le temps et qu’elles portent sur du matériel similaire. A titre d’exemple, une mise en concurrence faisant intervenir une offre de mars 2019 et une offre d’octobre 2019 avec une attribution en novembre 2019 ne pourra pas être considérée comme régulière dans la mesure où la date de validité de l’offre de mars 2019 aura de toute évidence expirée au moment de l’attribution du marché, ne laissant de ce fait qu’une seule offre valable. De la même manière, comparer du matériel trop différent fausse la concurrence et ne peut être considéré comme une mise en concurrence régulière (exemple : comparer une imprimante A4 à une imprimante A2). </w:t>
      </w:r>
    </w:p>
    <w:p>
      <w:pPr>
        <w:ind w:left="0" w:firstLine="0"/>
        <w:rPr>
          <w:rFonts w:eastAsia="Times New Roman" w:cs="Calibri"/>
          <w:b/>
          <w:lang w:val="fr-FR" w:eastAsia="fr-FR"/>
        </w:rPr>
      </w:pPr>
      <w:r>
        <w:rPr>
          <w:rFonts w:eastAsia="Times New Roman" w:cs="Calibri"/>
          <w:b/>
          <w:lang w:val="fr-FR" w:eastAsia="fr-FR"/>
        </w:rPr>
        <w:t xml:space="preserve">Dans le cas où le bénéficiaire n’obtient, au terme de sa demande de remise de prix, qu’une seule offre, il doit être en mesure de démontrer qu’il a bien mis en concurrence, en fournissant la copie des courriers/courriels envoyés aux différentes entreprises sollicitées dans le cadre de la demande d’offres.   </w:t>
      </w:r>
    </w:p>
    <w:p>
      <w:pPr>
        <w:numPr>
          <w:ilvl w:val="0"/>
          <w:numId w:val="7"/>
        </w:numPr>
        <w:spacing w:after="0"/>
        <w:ind w:left="426"/>
        <w:jc w:val="left"/>
        <w:rPr>
          <w:rFonts w:eastAsia="Times New Roman" w:cs="Calibri"/>
          <w:b/>
          <w:sz w:val="26"/>
          <w:szCs w:val="26"/>
          <w:lang w:val="fr-FR" w:eastAsia="fr-FR"/>
        </w:rPr>
      </w:pPr>
      <w:r>
        <w:rPr>
          <w:rFonts w:eastAsia="Times New Roman" w:cs="Calibri"/>
          <w:b/>
          <w:sz w:val="26"/>
          <w:szCs w:val="26"/>
          <w:lang w:val="fr-FR" w:eastAsia="fr-FR"/>
        </w:rPr>
        <w:t>Demande d’offres</w:t>
      </w:r>
    </w:p>
    <w:p>
      <w:pPr>
        <w:ind w:left="0" w:firstLine="0"/>
        <w:rPr>
          <w:rFonts w:eastAsia="Times New Roman" w:cs="Calibri"/>
          <w:lang w:val="fr-FR" w:eastAsia="fr-FR"/>
        </w:rPr>
      </w:pPr>
      <w:r>
        <w:rPr>
          <w:rFonts w:eastAsia="Times New Roman" w:cs="Calibri"/>
          <w:lang w:val="fr-FR" w:eastAsia="fr-FR"/>
        </w:rPr>
        <w:t xml:space="preserve">Le pouvoir adjudicateur est invité à fournir la preuve de la consultation d’un certain nombre de sociétés en joignant au dossier justificatif la copie des courriers, fax ou courriers électroniques envoyés aux soumissionnaires interrogés dans le cadre du marché public. </w:t>
      </w:r>
    </w:p>
    <w:p>
      <w:pPr>
        <w:ind w:left="0" w:firstLine="0"/>
        <w:rPr>
          <w:rFonts w:eastAsia="Times New Roman" w:cs="Calibri"/>
          <w:lang w:val="fr-FR" w:eastAsia="fr-FR"/>
        </w:rPr>
      </w:pPr>
      <w:r>
        <w:rPr>
          <w:rFonts w:eastAsia="Times New Roman" w:cs="Calibri"/>
          <w:lang w:val="fr-FR" w:eastAsia="fr-FR"/>
        </w:rPr>
        <w:t xml:space="preserve">Cette demande définie le besoin du CTA. La description de l’objet du marché ne devra pas être trop précise afin de ne pas « fermer » le marché. A ce titre, il est recommandé de ne pas citer de marque.  </w:t>
      </w:r>
    </w:p>
    <w:p>
      <w:pPr>
        <w:pBdr>
          <w:top w:val="single" w:sz="4" w:space="1" w:color="auto"/>
          <w:left w:val="single" w:sz="4" w:space="4" w:color="auto"/>
          <w:bottom w:val="single" w:sz="4" w:space="1" w:color="auto"/>
          <w:right w:val="single" w:sz="4" w:space="4" w:color="auto"/>
        </w:pBdr>
        <w:shd w:val="clear" w:color="auto" w:fill="FFFF00"/>
        <w:ind w:left="0" w:firstLine="0"/>
        <w:rPr>
          <w:rFonts w:eastAsia="Times New Roman" w:cs="Calibri"/>
          <w:lang w:val="fr-FR" w:eastAsia="fr-FR"/>
        </w:rPr>
      </w:pPr>
      <w:r>
        <w:rPr>
          <w:rFonts w:eastAsia="Times New Roman" w:cs="Calibri"/>
          <w:lang w:val="fr-FR" w:eastAsia="fr-FR"/>
        </w:rPr>
        <w:t xml:space="preserve">Habituellement, pour espérer obtenir au moins trois offres de prix, il est recommandé de contacter </w:t>
      </w:r>
      <w:r>
        <w:rPr>
          <w:rFonts w:eastAsia="Times New Roman" w:cs="Calibri"/>
          <w:b/>
          <w:u w:val="single"/>
          <w:lang w:val="fr-FR" w:eastAsia="fr-FR"/>
        </w:rPr>
        <w:t>au minimum cinq sociétés différentes</w:t>
      </w:r>
      <w:r>
        <w:rPr>
          <w:rFonts w:eastAsia="Times New Roman" w:cs="Calibri"/>
          <w:lang w:val="fr-FR" w:eastAsia="fr-FR"/>
        </w:rPr>
        <w:t xml:space="preserve">. </w:t>
      </w:r>
    </w:p>
    <w:p>
      <w:pPr>
        <w:ind w:left="0" w:firstLine="0"/>
        <w:rPr>
          <w:rFonts w:eastAsia="Times New Roman" w:cs="Calibri"/>
          <w:lang w:val="fr-FR" w:eastAsia="fr-FR"/>
        </w:rPr>
      </w:pPr>
      <w:r>
        <w:rPr>
          <w:rFonts w:eastAsia="Times New Roman" w:cs="Calibri"/>
          <w:lang w:val="fr-FR" w:eastAsia="fr-FR"/>
        </w:rPr>
        <w:t xml:space="preserve">Les sociétés interrogées doivent également avoir la capacité de répondre à la demande d’offre. Ainsi, s’il apparait dans le cadre d’un marché pour lequel une seule offre de prix a été réceptionnée que les sociétés interrogées n’ayant pas répondu à la demande d’offre n’étaient pas en mesure de remettre prix – car ne commercialisant par exemple pas ou plus le matériel souhaité – le respect du principe de la mise en concurrence ne pourra être attesté et le marché sera considéré comme irrégulier. La (les) dépense(s) correspondante(s) seront dès lors invalidées. </w:t>
      </w:r>
    </w:p>
    <w:p>
      <w:pPr>
        <w:numPr>
          <w:ilvl w:val="0"/>
          <w:numId w:val="7"/>
        </w:numPr>
        <w:spacing w:after="0"/>
        <w:ind w:left="426"/>
        <w:jc w:val="left"/>
        <w:rPr>
          <w:rFonts w:eastAsia="Times New Roman" w:cs="Calibri"/>
          <w:b/>
          <w:sz w:val="26"/>
          <w:szCs w:val="26"/>
          <w:lang w:val="fr-FR" w:eastAsia="fr-FR"/>
        </w:rPr>
      </w:pPr>
      <w:r>
        <w:rPr>
          <w:rFonts w:eastAsia="Times New Roman" w:cs="Calibri"/>
          <w:b/>
          <w:sz w:val="26"/>
          <w:szCs w:val="26"/>
          <w:lang w:val="fr-FR" w:eastAsia="fr-FR"/>
        </w:rPr>
        <w:t>Cahier spécial des charges</w:t>
      </w:r>
    </w:p>
    <w:p>
      <w:pPr>
        <w:ind w:left="0" w:firstLine="0"/>
        <w:rPr>
          <w:rFonts w:eastAsia="Times New Roman" w:cs="Calibri"/>
          <w:lang w:val="fr-FR" w:eastAsia="fr-FR"/>
        </w:rPr>
      </w:pPr>
      <w:r>
        <w:rPr>
          <w:rFonts w:eastAsia="Times New Roman" w:cs="Calibri"/>
          <w:lang w:val="fr-FR" w:eastAsia="fr-FR"/>
        </w:rPr>
        <w:t xml:space="preserve">Les conditions du marché applicables à une procédure déterminée sont consignées dans un document spécifique appelé « cahier des charges ». Ce document reprend notamment les informations relatives au pouvoir adjudicateur, l’objet du marché, le mode de passation, la nature et la structure du marché, le mode de détermination du prix, le cas échéant les critères de sélection et d’attribution ou encore l’adresse à laquelle les offres doivent être déposées ainsi que les spécifications techniques minimales applicables au marché. </w:t>
      </w:r>
    </w:p>
    <w:p>
      <w:pPr>
        <w:ind w:left="0" w:firstLine="0"/>
        <w:rPr>
          <w:rFonts w:eastAsia="Times New Roman" w:cs="Calibri"/>
          <w:lang w:val="fr-FR" w:eastAsia="fr-FR"/>
        </w:rPr>
      </w:pPr>
      <w:r>
        <w:rPr>
          <w:rFonts w:eastAsia="Times New Roman" w:cs="Calibri"/>
          <w:lang w:val="fr-FR" w:eastAsia="fr-FR"/>
        </w:rPr>
        <w:t xml:space="preserve">La plupart des cahiers des charges s’articulent autour de deux grandes parties, la première contient les clauses administratives du marché, la seconde les spécifications techniques. </w:t>
      </w:r>
    </w:p>
    <w:p>
      <w:pPr>
        <w:ind w:left="0" w:firstLine="0"/>
        <w:rPr>
          <w:rFonts w:eastAsia="Times New Roman" w:cs="Calibri"/>
          <w:lang w:val="fr-FR" w:eastAsia="fr-FR"/>
        </w:rPr>
      </w:pPr>
      <w:r>
        <w:rPr>
          <w:rFonts w:eastAsia="Times New Roman" w:cs="Calibri"/>
          <w:lang w:val="fr-FR" w:eastAsia="fr-FR"/>
        </w:rPr>
        <w:lastRenderedPageBreak/>
        <w:t xml:space="preserve">Des modèles de cahier des charges sont disponibles sur demande auprès du chargé de mission CTA du réseau concerné. </w:t>
      </w:r>
    </w:p>
    <w:p>
      <w:pPr>
        <w:numPr>
          <w:ilvl w:val="0"/>
          <w:numId w:val="7"/>
        </w:numPr>
        <w:spacing w:after="0"/>
        <w:ind w:left="426"/>
        <w:jc w:val="left"/>
        <w:rPr>
          <w:rFonts w:eastAsia="Times New Roman" w:cs="Calibri"/>
          <w:b/>
          <w:sz w:val="26"/>
          <w:szCs w:val="26"/>
          <w:lang w:val="fr-FR" w:eastAsia="fr-FR"/>
        </w:rPr>
      </w:pPr>
      <w:r>
        <w:rPr>
          <w:rFonts w:eastAsia="Times New Roman" w:cs="Calibri"/>
          <w:b/>
          <w:sz w:val="26"/>
          <w:szCs w:val="26"/>
          <w:lang w:val="fr-FR" w:eastAsia="fr-FR"/>
        </w:rPr>
        <w:t>Courriers de notification de non attribution</w:t>
      </w:r>
    </w:p>
    <w:p>
      <w:pPr>
        <w:ind w:left="0" w:firstLine="0"/>
        <w:rPr>
          <w:rFonts w:eastAsia="Times New Roman" w:cs="Calibri"/>
          <w:b/>
          <w:lang w:val="fr-FR" w:eastAsia="fr-FR"/>
        </w:rPr>
      </w:pPr>
      <w:r>
        <w:rPr>
          <w:rFonts w:eastAsia="Times New Roman" w:cs="Calibri"/>
          <w:lang w:val="fr-FR" w:eastAsia="fr-FR"/>
        </w:rPr>
        <w:t xml:space="preserve">Dans un souci de transparence et d’égalité de traitement entre tous les soumissionnaires, la rédaction d’un courrier/courriel de notification de la décision de non-attribution à l’attention des candidats non-retenus </w:t>
      </w:r>
      <w:r>
        <w:rPr>
          <w:rFonts w:eastAsia="Times New Roman" w:cs="Calibri"/>
          <w:b/>
          <w:lang w:val="fr-FR" w:eastAsia="fr-FR"/>
        </w:rPr>
        <w:t xml:space="preserve">est obligatoire.  </w:t>
      </w:r>
    </w:p>
    <w:p>
      <w:pPr>
        <w:ind w:left="0" w:firstLine="0"/>
        <w:rPr>
          <w:rFonts w:eastAsia="Times New Roman" w:cs="Calibri"/>
          <w:lang w:val="fr-FR" w:eastAsia="fr-FR"/>
        </w:rPr>
      </w:pPr>
      <w:r>
        <w:rPr>
          <w:rFonts w:eastAsia="Times New Roman" w:cs="Calibri"/>
          <w:lang w:val="fr-FR" w:eastAsia="fr-FR"/>
        </w:rPr>
        <w:t xml:space="preserve">En cas de consultation d’offres de prix sur Internet, la rédaction d’un courrier/courriel de notification envoyé aux soumissionnaires non retenus n’est pas nécessaire. </w:t>
      </w:r>
    </w:p>
    <w:p>
      <w:pPr>
        <w:numPr>
          <w:ilvl w:val="0"/>
          <w:numId w:val="7"/>
        </w:numPr>
        <w:spacing w:after="0"/>
        <w:ind w:left="426"/>
        <w:jc w:val="left"/>
        <w:rPr>
          <w:rFonts w:eastAsia="Times New Roman" w:cs="Calibri"/>
          <w:b/>
          <w:sz w:val="26"/>
          <w:szCs w:val="26"/>
          <w:lang w:val="fr-FR" w:eastAsia="fr-FR"/>
        </w:rPr>
      </w:pPr>
      <w:r>
        <w:rPr>
          <w:rFonts w:eastAsia="Times New Roman" w:cs="Calibri"/>
          <w:b/>
          <w:sz w:val="26"/>
          <w:szCs w:val="26"/>
          <w:lang w:val="fr-FR" w:eastAsia="fr-FR"/>
        </w:rPr>
        <w:t>Questions / demandes d’informations</w:t>
      </w:r>
    </w:p>
    <w:p>
      <w:pPr>
        <w:ind w:left="0" w:firstLine="0"/>
        <w:rPr>
          <w:rFonts w:eastAsia="Times New Roman" w:cs="Calibri"/>
          <w:b/>
          <w:lang w:val="fr-FR" w:eastAsia="fr-FR"/>
        </w:rPr>
      </w:pPr>
      <w:r>
        <w:rPr>
          <w:rFonts w:eastAsia="Times New Roman" w:cs="Calibri"/>
          <w:b/>
          <w:lang w:val="fr-FR" w:eastAsia="fr-FR"/>
        </w:rPr>
        <w:t xml:space="preserve">Pour toute demande d’informations complémentaires concernant la conduite des marchés publics et/ou la constitution du dossier justificatif, contacter le chargé de mission CTA du réseau concerné. </w:t>
      </w:r>
    </w:p>
    <w:p>
      <w:bookmarkStart w:id="6" w:name="_GoBack"/>
      <w:bookmarkEnd w:id="6"/>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 w:id="1">
    <w:p>
      <w:pPr>
        <w:pStyle w:val="Notedebasdepage"/>
        <w:rPr>
          <w:rFonts w:ascii="Calibri" w:hAnsi="Calibri" w:cs="Calibri"/>
          <w:sz w:val="16"/>
          <w:szCs w:val="16"/>
          <w:lang w:val="fr-BE"/>
        </w:rPr>
      </w:pPr>
      <w:r>
        <w:rPr>
          <w:rStyle w:val="Appelnotedebasdep"/>
          <w:rFonts w:ascii="Calibri" w:hAnsi="Calibri" w:cs="Calibri"/>
          <w:sz w:val="16"/>
          <w:szCs w:val="16"/>
        </w:rPr>
        <w:footnoteRef/>
      </w:r>
      <w:r>
        <w:rPr>
          <w:rFonts w:ascii="Calibri" w:hAnsi="Calibri" w:cs="Calibri"/>
          <w:sz w:val="16"/>
          <w:szCs w:val="16"/>
        </w:rPr>
        <w:t xml:space="preserve"> </w:t>
      </w:r>
      <w:r>
        <w:rPr>
          <w:rFonts w:ascii="Calibri" w:hAnsi="Calibri" w:cs="Calibri"/>
          <w:sz w:val="16"/>
          <w:szCs w:val="16"/>
          <w:lang w:val="fr-BE"/>
        </w:rPr>
        <w:t>Les équipements pédagogiques destinés à la conduite des formations.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860AE"/>
    <w:multiLevelType w:val="hybridMultilevel"/>
    <w:tmpl w:val="89EA6A58"/>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7334EDC"/>
    <w:multiLevelType w:val="hybridMultilevel"/>
    <w:tmpl w:val="098A3FF8"/>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B2E1BFF"/>
    <w:multiLevelType w:val="hybridMultilevel"/>
    <w:tmpl w:val="594C4CBE"/>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3B7B0D7A"/>
    <w:multiLevelType w:val="hybridMultilevel"/>
    <w:tmpl w:val="7BCA5FC2"/>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4B8B508D"/>
    <w:multiLevelType w:val="hybridMultilevel"/>
    <w:tmpl w:val="D22CA06C"/>
    <w:lvl w:ilvl="0" w:tplc="080C0005">
      <w:start w:val="1"/>
      <w:numFmt w:val="bullet"/>
      <w:lvlText w:val=""/>
      <w:lvlJc w:val="left"/>
      <w:pPr>
        <w:ind w:left="750" w:hanging="360"/>
      </w:pPr>
      <w:rPr>
        <w:rFonts w:ascii="Wingdings" w:hAnsi="Wingdings" w:hint="default"/>
      </w:rPr>
    </w:lvl>
    <w:lvl w:ilvl="1" w:tplc="080C0003" w:tentative="1">
      <w:start w:val="1"/>
      <w:numFmt w:val="bullet"/>
      <w:lvlText w:val="o"/>
      <w:lvlJc w:val="left"/>
      <w:pPr>
        <w:ind w:left="1470" w:hanging="360"/>
      </w:pPr>
      <w:rPr>
        <w:rFonts w:ascii="Courier New" w:hAnsi="Courier New" w:cs="Courier New" w:hint="default"/>
      </w:rPr>
    </w:lvl>
    <w:lvl w:ilvl="2" w:tplc="080C0005" w:tentative="1">
      <w:start w:val="1"/>
      <w:numFmt w:val="bullet"/>
      <w:lvlText w:val=""/>
      <w:lvlJc w:val="left"/>
      <w:pPr>
        <w:ind w:left="2190" w:hanging="360"/>
      </w:pPr>
      <w:rPr>
        <w:rFonts w:ascii="Wingdings" w:hAnsi="Wingdings" w:hint="default"/>
      </w:rPr>
    </w:lvl>
    <w:lvl w:ilvl="3" w:tplc="080C0001" w:tentative="1">
      <w:start w:val="1"/>
      <w:numFmt w:val="bullet"/>
      <w:lvlText w:val=""/>
      <w:lvlJc w:val="left"/>
      <w:pPr>
        <w:ind w:left="2910" w:hanging="360"/>
      </w:pPr>
      <w:rPr>
        <w:rFonts w:ascii="Symbol" w:hAnsi="Symbol" w:hint="default"/>
      </w:rPr>
    </w:lvl>
    <w:lvl w:ilvl="4" w:tplc="080C0003" w:tentative="1">
      <w:start w:val="1"/>
      <w:numFmt w:val="bullet"/>
      <w:lvlText w:val="o"/>
      <w:lvlJc w:val="left"/>
      <w:pPr>
        <w:ind w:left="3630" w:hanging="360"/>
      </w:pPr>
      <w:rPr>
        <w:rFonts w:ascii="Courier New" w:hAnsi="Courier New" w:cs="Courier New" w:hint="default"/>
      </w:rPr>
    </w:lvl>
    <w:lvl w:ilvl="5" w:tplc="080C0005" w:tentative="1">
      <w:start w:val="1"/>
      <w:numFmt w:val="bullet"/>
      <w:lvlText w:val=""/>
      <w:lvlJc w:val="left"/>
      <w:pPr>
        <w:ind w:left="4350" w:hanging="360"/>
      </w:pPr>
      <w:rPr>
        <w:rFonts w:ascii="Wingdings" w:hAnsi="Wingdings" w:hint="default"/>
      </w:rPr>
    </w:lvl>
    <w:lvl w:ilvl="6" w:tplc="080C0001" w:tentative="1">
      <w:start w:val="1"/>
      <w:numFmt w:val="bullet"/>
      <w:lvlText w:val=""/>
      <w:lvlJc w:val="left"/>
      <w:pPr>
        <w:ind w:left="5070" w:hanging="360"/>
      </w:pPr>
      <w:rPr>
        <w:rFonts w:ascii="Symbol" w:hAnsi="Symbol" w:hint="default"/>
      </w:rPr>
    </w:lvl>
    <w:lvl w:ilvl="7" w:tplc="080C0003" w:tentative="1">
      <w:start w:val="1"/>
      <w:numFmt w:val="bullet"/>
      <w:lvlText w:val="o"/>
      <w:lvlJc w:val="left"/>
      <w:pPr>
        <w:ind w:left="5790" w:hanging="360"/>
      </w:pPr>
      <w:rPr>
        <w:rFonts w:ascii="Courier New" w:hAnsi="Courier New" w:cs="Courier New" w:hint="default"/>
      </w:rPr>
    </w:lvl>
    <w:lvl w:ilvl="8" w:tplc="080C0005" w:tentative="1">
      <w:start w:val="1"/>
      <w:numFmt w:val="bullet"/>
      <w:lvlText w:val=""/>
      <w:lvlJc w:val="left"/>
      <w:pPr>
        <w:ind w:left="6510" w:hanging="360"/>
      </w:pPr>
      <w:rPr>
        <w:rFonts w:ascii="Wingdings" w:hAnsi="Wingdings" w:hint="default"/>
      </w:rPr>
    </w:lvl>
  </w:abstractNum>
  <w:abstractNum w:abstractNumId="5" w15:restartNumberingAfterBreak="0">
    <w:nsid w:val="4DE80D45"/>
    <w:multiLevelType w:val="hybridMultilevel"/>
    <w:tmpl w:val="9E26B222"/>
    <w:lvl w:ilvl="0" w:tplc="C9843FAC">
      <w:start w:val="1"/>
      <w:numFmt w:val="bullet"/>
      <w:lvlText w:val="è"/>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73BC3293"/>
    <w:multiLevelType w:val="hybridMultilevel"/>
    <w:tmpl w:val="2C18046E"/>
    <w:lvl w:ilvl="0" w:tplc="457E48D0">
      <w:start w:val="1"/>
      <w:numFmt w:val="decimal"/>
      <w:lvlText w:val="%1."/>
      <w:lvlJc w:val="left"/>
      <w:pPr>
        <w:ind w:left="720" w:hanging="360"/>
      </w:pPr>
      <w:rPr>
        <w:b/>
        <w:sz w:val="26"/>
        <w:szCs w:val="26"/>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8ED6CD1"/>
    <w:multiLevelType w:val="hybridMultilevel"/>
    <w:tmpl w:val="C76E41C2"/>
    <w:lvl w:ilvl="0" w:tplc="080C0009">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7D5B4F51"/>
    <w:multiLevelType w:val="hybridMultilevel"/>
    <w:tmpl w:val="5E72A48E"/>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7"/>
  </w:num>
  <w:num w:numId="5">
    <w:abstractNumId w:val="8"/>
  </w:num>
  <w:num w:numId="6">
    <w:abstractNumId w:val="3"/>
  </w:num>
  <w:num w:numId="7">
    <w:abstractNumId w:val="6"/>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89C369-D088-4AB6-861C-CB7FF22B2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ind w:left="1134" w:hanging="1134"/>
      <w:jc w:val="both"/>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pPr>
      <w:spacing w:after="0"/>
      <w:ind w:left="0" w:firstLine="0"/>
      <w:jc w:val="left"/>
    </w:pPr>
    <w:rPr>
      <w:rFonts w:ascii="Times New Roman" w:eastAsia="Times New Roman" w:hAnsi="Times New Roman"/>
      <w:sz w:val="20"/>
      <w:szCs w:val="20"/>
      <w:lang w:val="fr-FR" w:eastAsia="fr-FR"/>
    </w:rPr>
  </w:style>
  <w:style w:type="character" w:customStyle="1" w:styleId="NotedebasdepageCar">
    <w:name w:val="Note de bas de page Car"/>
    <w:basedOn w:val="Policepardfaut"/>
    <w:link w:val="Notedebasdepage"/>
    <w:rPr>
      <w:rFonts w:ascii="Times New Roman" w:eastAsia="Times New Roman" w:hAnsi="Times New Roman"/>
      <w:lang w:val="fr-FR" w:eastAsia="fr-FR"/>
    </w:rPr>
  </w:style>
  <w:style w:type="character" w:styleId="Appelnotedebasdep">
    <w:name w:val="footnote referen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fr.wiktionary.org/wiki/%E2%89%A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2107</Words>
  <Characters>11589</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13669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CLERFAYT Mélanie</dc:creator>
  <cp:keywords/>
  <dc:description/>
  <cp:lastModifiedBy>DE CLERFAYT Mélanie</cp:lastModifiedBy>
  <cp:revision>1</cp:revision>
  <dcterms:created xsi:type="dcterms:W3CDTF">2020-09-09T06:33:00Z</dcterms:created>
  <dcterms:modified xsi:type="dcterms:W3CDTF">2020-09-09T06:33:00Z</dcterms:modified>
</cp:coreProperties>
</file>